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62B2" w:rsidRDefault="00355B7D">
      <w:pPr>
        <w:pStyle w:val="Ttulo1"/>
        <w:spacing w:before="480"/>
        <w:ind w:right="261"/>
        <w:jc w:val="both"/>
        <w:rPr>
          <w:rStyle w:val="Ninguno"/>
          <w:b/>
          <w:bCs/>
          <w:color w:val="008000"/>
          <w:sz w:val="28"/>
          <w:szCs w:val="28"/>
          <w:u w:color="008000"/>
          <w:lang w:val="es-ES_tradnl"/>
        </w:rPr>
      </w:pPr>
      <w:r>
        <w:rPr>
          <w:rStyle w:val="Ninguno"/>
          <w:b/>
          <w:bCs/>
          <w:color w:val="008000"/>
          <w:sz w:val="28"/>
          <w:szCs w:val="28"/>
          <w:u w:color="008000"/>
          <w:lang w:val="es-ES_tradnl"/>
        </w:rPr>
        <w:t xml:space="preserve">COMUNICADO de prensa </w:t>
      </w:r>
    </w:p>
    <w:p w:rsidR="00CB057E" w:rsidRPr="00FF2474" w:rsidRDefault="00FF2474" w:rsidP="0056734C">
      <w:pPr>
        <w:pStyle w:val="Ttulo3"/>
        <w:spacing w:after="480" w:line="276" w:lineRule="auto"/>
        <w:rPr>
          <w:rStyle w:val="Ninguno"/>
          <w:color w:val="008000"/>
          <w:sz w:val="40"/>
          <w:szCs w:val="40"/>
          <w:u w:color="008000"/>
          <w:lang w:val="es-ES_tradnl"/>
        </w:rPr>
      </w:pPr>
      <w:r w:rsidRPr="00FF2474">
        <w:rPr>
          <w:rStyle w:val="Ninguno"/>
          <w:color w:val="008000"/>
          <w:sz w:val="40"/>
          <w:szCs w:val="40"/>
          <w:u w:color="008000"/>
          <w:lang w:val="es-ES_tradnl"/>
        </w:rPr>
        <w:t xml:space="preserve">El Corte Inglés eleva a 20 el número de centros </w:t>
      </w:r>
      <w:r w:rsidRPr="00FF2474">
        <w:rPr>
          <w:rStyle w:val="Ninguno"/>
          <w:color w:val="008000"/>
          <w:sz w:val="40"/>
          <w:szCs w:val="40"/>
          <w:u w:color="008000"/>
          <w:lang w:val="es-ES_tradnl"/>
        </w:rPr>
        <w:t>con certificación</w:t>
      </w:r>
      <w:r w:rsidRPr="00FF2474">
        <w:rPr>
          <w:rStyle w:val="Ninguno"/>
          <w:color w:val="008000"/>
          <w:sz w:val="40"/>
          <w:szCs w:val="40"/>
          <w:u w:color="008000"/>
          <w:lang w:val="es-ES_tradnl"/>
        </w:rPr>
        <w:t xml:space="preserve"> </w:t>
      </w:r>
      <w:r>
        <w:rPr>
          <w:rStyle w:val="Ninguno"/>
          <w:color w:val="008000"/>
          <w:sz w:val="40"/>
          <w:szCs w:val="40"/>
          <w:u w:color="008000"/>
          <w:lang w:val="es-ES_tradnl"/>
        </w:rPr>
        <w:t>medio</w:t>
      </w:r>
      <w:r w:rsidRPr="00FF2474">
        <w:rPr>
          <w:rStyle w:val="Ninguno"/>
          <w:color w:val="008000"/>
          <w:sz w:val="40"/>
          <w:szCs w:val="40"/>
          <w:u w:color="008000"/>
          <w:lang w:val="es-ES_tradnl"/>
        </w:rPr>
        <w:t xml:space="preserve">ambiental </w:t>
      </w:r>
      <w:r w:rsidRPr="00FF2474">
        <w:rPr>
          <w:rStyle w:val="Ninguno"/>
          <w:color w:val="008000"/>
          <w:sz w:val="40"/>
          <w:szCs w:val="40"/>
          <w:u w:color="008000"/>
          <w:lang w:val="es-ES_tradnl"/>
        </w:rPr>
        <w:t>‘Residuo Cero’</w:t>
      </w:r>
    </w:p>
    <w:p w:rsidR="00FF2474" w:rsidRPr="00FF2474" w:rsidRDefault="00E14700" w:rsidP="00832B79">
      <w:pPr>
        <w:pStyle w:val="NormalWeb"/>
        <w:numPr>
          <w:ilvl w:val="0"/>
          <w:numId w:val="4"/>
        </w:numPr>
        <w:spacing w:before="0" w:after="0" w:line="276" w:lineRule="auto"/>
        <w:jc w:val="both"/>
        <w:rPr>
          <w:rStyle w:val="Ninguno"/>
          <w:rFonts w:ascii="Century Gothic" w:eastAsia="Century Gothic" w:hAnsi="Century Gothic" w:cs="Century Gothic"/>
          <w:i/>
          <w:iCs/>
          <w:color w:val="008000"/>
          <w:spacing w:val="-5"/>
          <w:sz w:val="22"/>
          <w:szCs w:val="22"/>
          <w:u w:color="008000"/>
        </w:rPr>
      </w:pPr>
      <w:r>
        <w:rPr>
          <w:rStyle w:val="Ninguno"/>
          <w:rFonts w:ascii="Century Gothic" w:hAnsi="Century Gothic"/>
          <w:i/>
          <w:iCs/>
          <w:color w:val="008000"/>
          <w:spacing w:val="-5"/>
          <w:sz w:val="22"/>
          <w:szCs w:val="22"/>
          <w:u w:color="008000"/>
        </w:rPr>
        <w:t>E</w:t>
      </w:r>
      <w:r w:rsidR="00FF2474">
        <w:rPr>
          <w:rStyle w:val="Ninguno"/>
          <w:rFonts w:ascii="Century Gothic" w:hAnsi="Century Gothic"/>
          <w:i/>
          <w:iCs/>
          <w:color w:val="008000"/>
          <w:spacing w:val="-5"/>
          <w:sz w:val="22"/>
          <w:szCs w:val="22"/>
          <w:u w:color="008000"/>
        </w:rPr>
        <w:t>l Grupo ha obtenido el certificado Residuo Cero de AENOR para todos sus establecimientos y plataformas logísticas de Asturias, Cantabria y Castilla y León, que se suman así a los centros certificados en Galicia el año pasado.</w:t>
      </w:r>
    </w:p>
    <w:p w:rsidR="0056734C" w:rsidRDefault="0056734C" w:rsidP="0056734C">
      <w:pPr>
        <w:pStyle w:val="NormalWeb"/>
        <w:spacing w:before="0" w:after="0" w:line="276" w:lineRule="auto"/>
        <w:ind w:left="360"/>
        <w:jc w:val="both"/>
        <w:rPr>
          <w:rStyle w:val="Ninguno"/>
          <w:rFonts w:ascii="Century Gothic" w:eastAsia="Century Gothic" w:hAnsi="Century Gothic" w:cs="Century Gothic"/>
          <w:i/>
          <w:iCs/>
          <w:color w:val="008000"/>
          <w:spacing w:val="-5"/>
          <w:sz w:val="22"/>
          <w:szCs w:val="22"/>
          <w:u w:color="008000"/>
        </w:rPr>
      </w:pPr>
    </w:p>
    <w:p w:rsidR="00F062B2" w:rsidRPr="0056734C" w:rsidRDefault="00355B7D" w:rsidP="00832B79">
      <w:pPr>
        <w:pStyle w:val="NormalWeb"/>
        <w:numPr>
          <w:ilvl w:val="0"/>
          <w:numId w:val="4"/>
        </w:numPr>
        <w:spacing w:before="0" w:after="0" w:line="276" w:lineRule="auto"/>
        <w:jc w:val="both"/>
        <w:rPr>
          <w:rStyle w:val="Ninguno"/>
          <w:rFonts w:ascii="Century Gothic" w:eastAsia="Century Gothic" w:hAnsi="Century Gothic" w:cs="Century Gothic"/>
          <w:i/>
          <w:iCs/>
          <w:color w:val="008000"/>
          <w:spacing w:val="-5"/>
          <w:sz w:val="22"/>
          <w:szCs w:val="22"/>
          <w:u w:color="008000"/>
        </w:rPr>
      </w:pPr>
      <w:r>
        <w:rPr>
          <w:rStyle w:val="Ninguno"/>
          <w:rFonts w:ascii="Century Gothic" w:hAnsi="Century Gothic"/>
          <w:i/>
          <w:iCs/>
          <w:color w:val="008000"/>
          <w:spacing w:val="-5"/>
          <w:sz w:val="22"/>
          <w:szCs w:val="22"/>
          <w:u w:color="008000"/>
        </w:rPr>
        <w:t>El sistema implantado ha logrado demostrar q</w:t>
      </w:r>
      <w:r w:rsidR="0056734C">
        <w:rPr>
          <w:rStyle w:val="Ninguno"/>
          <w:rFonts w:ascii="Century Gothic" w:hAnsi="Century Gothic"/>
          <w:i/>
          <w:iCs/>
          <w:color w:val="008000"/>
          <w:spacing w:val="-5"/>
          <w:sz w:val="22"/>
          <w:szCs w:val="22"/>
          <w:u w:color="008000"/>
        </w:rPr>
        <w:t>ue todos los residuos generados</w:t>
      </w:r>
      <w:r>
        <w:rPr>
          <w:rStyle w:val="Ninguno"/>
          <w:rFonts w:ascii="Century Gothic" w:hAnsi="Century Gothic"/>
          <w:i/>
          <w:iCs/>
          <w:color w:val="008000"/>
          <w:spacing w:val="-5"/>
          <w:sz w:val="22"/>
          <w:szCs w:val="22"/>
          <w:u w:color="008000"/>
        </w:rPr>
        <w:t xml:space="preserve"> se gestionan y se valorizan al menos en un 90%, evitando el depósito en vertedero. </w:t>
      </w:r>
    </w:p>
    <w:p w:rsidR="0056734C" w:rsidRDefault="0056734C" w:rsidP="0056734C">
      <w:pPr>
        <w:pStyle w:val="Prrafodelista"/>
        <w:rPr>
          <w:rStyle w:val="Ninguno"/>
          <w:rFonts w:eastAsia="Century Gothic" w:cs="Century Gothic"/>
          <w:i/>
          <w:iCs/>
          <w:color w:val="008000"/>
          <w:sz w:val="22"/>
          <w:szCs w:val="22"/>
          <w:u w:color="008000"/>
        </w:rPr>
      </w:pPr>
    </w:p>
    <w:p w:rsidR="00F062B2" w:rsidRDefault="00F062B2">
      <w:pPr>
        <w:spacing w:line="276" w:lineRule="auto"/>
        <w:ind w:left="714"/>
        <w:rPr>
          <w:rStyle w:val="Ninguno"/>
          <w:i/>
          <w:iCs/>
          <w:color w:val="008000"/>
          <w:spacing w:val="0"/>
          <w:sz w:val="22"/>
          <w:szCs w:val="22"/>
          <w:u w:color="008000"/>
          <w:lang w:val="es-ES_tradnl"/>
        </w:rPr>
      </w:pPr>
    </w:p>
    <w:p w:rsidR="00F062B2" w:rsidRDefault="00355B7D">
      <w:pPr>
        <w:pStyle w:val="NormalWeb"/>
        <w:shd w:val="clear" w:color="auto" w:fill="FFFFFF"/>
        <w:spacing w:before="0" w:after="0" w:line="360" w:lineRule="auto"/>
        <w:jc w:val="both"/>
        <w:rPr>
          <w:rStyle w:val="Ninguno"/>
          <w:rFonts w:ascii="Century Gothic" w:hAnsi="Century Gothic"/>
          <w:sz w:val="22"/>
          <w:szCs w:val="22"/>
        </w:rPr>
      </w:pPr>
      <w:r>
        <w:rPr>
          <w:rStyle w:val="Ninguno"/>
          <w:rFonts w:ascii="Century Gothic" w:hAnsi="Century Gothic"/>
          <w:b/>
          <w:bCs/>
          <w:sz w:val="22"/>
          <w:szCs w:val="22"/>
        </w:rPr>
        <w:t xml:space="preserve">Madrid, </w:t>
      </w:r>
      <w:r w:rsidR="001141A6">
        <w:rPr>
          <w:rStyle w:val="Ninguno"/>
          <w:rFonts w:ascii="Century Gothic" w:hAnsi="Century Gothic"/>
          <w:b/>
          <w:bCs/>
          <w:sz w:val="22"/>
          <w:szCs w:val="22"/>
        </w:rPr>
        <w:t xml:space="preserve">30 de junio </w:t>
      </w:r>
      <w:r>
        <w:rPr>
          <w:rStyle w:val="Ninguno"/>
          <w:rFonts w:ascii="Century Gothic" w:hAnsi="Century Gothic"/>
          <w:b/>
          <w:bCs/>
          <w:sz w:val="22"/>
          <w:szCs w:val="22"/>
        </w:rPr>
        <w:t>de 2020</w:t>
      </w:r>
      <w:r>
        <w:rPr>
          <w:rStyle w:val="Ninguno"/>
          <w:b/>
          <w:bCs/>
        </w:rPr>
        <w:t>:</w:t>
      </w:r>
      <w:r>
        <w:rPr>
          <w:rStyle w:val="Ninguno"/>
          <w:rFonts w:ascii="Century Gothic" w:hAnsi="Century Gothic"/>
          <w:sz w:val="22"/>
          <w:szCs w:val="22"/>
        </w:rPr>
        <w:t xml:space="preserve"> El Grupo El Corte Inglés ha obtenido la certificación de Residuo Cero de AENOR, para todos sus </w:t>
      </w:r>
      <w:r w:rsidR="00E14700">
        <w:rPr>
          <w:rStyle w:val="Ninguno"/>
          <w:rFonts w:ascii="Century Gothic" w:hAnsi="Century Gothic"/>
          <w:sz w:val="22"/>
          <w:szCs w:val="22"/>
        </w:rPr>
        <w:t xml:space="preserve">establecimientos </w:t>
      </w:r>
      <w:r>
        <w:rPr>
          <w:rStyle w:val="Ninguno"/>
          <w:rFonts w:ascii="Century Gothic" w:hAnsi="Century Gothic"/>
          <w:sz w:val="22"/>
          <w:szCs w:val="22"/>
        </w:rPr>
        <w:t>y plataformas logísti</w:t>
      </w:r>
      <w:r w:rsidR="0056734C">
        <w:rPr>
          <w:rStyle w:val="Ninguno"/>
          <w:rFonts w:ascii="Century Gothic" w:hAnsi="Century Gothic"/>
          <w:sz w:val="22"/>
          <w:szCs w:val="22"/>
        </w:rPr>
        <w:t xml:space="preserve">cas de Asturias, </w:t>
      </w:r>
      <w:r w:rsidR="0056734C">
        <w:rPr>
          <w:rStyle w:val="Ninguno"/>
          <w:rFonts w:ascii="Century Gothic" w:hAnsi="Century Gothic"/>
          <w:sz w:val="22"/>
          <w:szCs w:val="22"/>
        </w:rPr>
        <w:t>Cantabria</w:t>
      </w:r>
      <w:r w:rsidR="0056734C">
        <w:rPr>
          <w:rStyle w:val="Ninguno"/>
          <w:rFonts w:ascii="Century Gothic" w:hAnsi="Century Gothic"/>
          <w:sz w:val="22"/>
          <w:szCs w:val="22"/>
        </w:rPr>
        <w:t>, y Castilla y León</w:t>
      </w:r>
      <w:r>
        <w:rPr>
          <w:rStyle w:val="Ninguno"/>
          <w:rFonts w:ascii="Century Gothic" w:hAnsi="Century Gothic"/>
          <w:sz w:val="22"/>
          <w:szCs w:val="22"/>
        </w:rPr>
        <w:t>, que se suman así a los certificados en 2019 en Galicia.</w:t>
      </w:r>
      <w:r w:rsidR="00FF2474">
        <w:rPr>
          <w:rStyle w:val="Ninguno"/>
          <w:rFonts w:ascii="Century Gothic" w:hAnsi="Century Gothic"/>
          <w:sz w:val="22"/>
          <w:szCs w:val="22"/>
        </w:rPr>
        <w:t xml:space="preserve"> En total, 20 </w:t>
      </w:r>
      <w:r w:rsidR="00E14700">
        <w:rPr>
          <w:rStyle w:val="Ninguno"/>
          <w:rFonts w:ascii="Century Gothic" w:hAnsi="Century Gothic"/>
          <w:sz w:val="22"/>
          <w:szCs w:val="22"/>
        </w:rPr>
        <w:t>centros del Grupo cuentan ya con este sello medioambiental.</w:t>
      </w:r>
    </w:p>
    <w:p w:rsidR="00A33A05" w:rsidRDefault="00A33A05">
      <w:pPr>
        <w:pStyle w:val="NormalWeb"/>
        <w:shd w:val="clear" w:color="auto" w:fill="FFFFFF"/>
        <w:spacing w:before="0" w:after="0" w:line="360" w:lineRule="auto"/>
        <w:jc w:val="both"/>
        <w:rPr>
          <w:rStyle w:val="Ninguno"/>
          <w:rFonts w:ascii="Century Gothic" w:hAnsi="Century Gothic"/>
          <w:sz w:val="22"/>
          <w:szCs w:val="22"/>
        </w:rPr>
      </w:pPr>
      <w:r w:rsidRPr="00C2069E">
        <w:rPr>
          <w:rStyle w:val="Ttulo1Car"/>
          <w:noProof/>
          <w:sz w:val="22"/>
          <w:szCs w:val="22"/>
        </w:rPr>
        <mc:AlternateContent>
          <mc:Choice Requires="wps">
            <w:drawing>
              <wp:anchor distT="45720" distB="45720" distL="114300" distR="114300" simplePos="0" relativeHeight="251662336" behindDoc="0" locked="0" layoutInCell="1" allowOverlap="1" wp14:anchorId="30F5046C" wp14:editId="42B781DE">
                <wp:simplePos x="0" y="0"/>
                <wp:positionH relativeFrom="column">
                  <wp:posOffset>730885</wp:posOffset>
                </wp:positionH>
                <wp:positionV relativeFrom="paragraph">
                  <wp:posOffset>174625</wp:posOffset>
                </wp:positionV>
                <wp:extent cx="4478655" cy="2157095"/>
                <wp:effectExtent l="0" t="0" r="17145" b="14605"/>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8655" cy="2157095"/>
                        </a:xfrm>
                        <a:prstGeom prst="rect">
                          <a:avLst/>
                        </a:prstGeom>
                        <a:solidFill>
                          <a:srgbClr val="FFFFFF"/>
                        </a:solidFill>
                        <a:ln w="9525">
                          <a:solidFill>
                            <a:srgbClr val="000000"/>
                          </a:solidFill>
                          <a:miter lim="800000"/>
                          <a:headEnd/>
                          <a:tailEnd/>
                        </a:ln>
                      </wps:spPr>
                      <wps:txbx>
                        <w:txbxContent>
                          <w:p w:rsidR="00A33A05" w:rsidRPr="00A33A05" w:rsidRDefault="00A33A05" w:rsidP="00A33A05">
                            <w:pPr>
                              <w:spacing w:line="276" w:lineRule="auto"/>
                              <w:jc w:val="center"/>
                              <w:rPr>
                                <w:b/>
                                <w:color w:val="009900"/>
                                <w:sz w:val="24"/>
                                <w:szCs w:val="24"/>
                              </w:rPr>
                            </w:pPr>
                            <w:r w:rsidRPr="00A33A05">
                              <w:rPr>
                                <w:b/>
                                <w:color w:val="009900"/>
                                <w:sz w:val="24"/>
                                <w:szCs w:val="24"/>
                              </w:rPr>
                              <w:t>Centros certificados</w:t>
                            </w:r>
                          </w:p>
                          <w:p w:rsidR="00A33A05" w:rsidRDefault="00A33A05" w:rsidP="00A33A05">
                            <w:pPr>
                              <w:spacing w:line="276" w:lineRule="auto"/>
                              <w:rPr>
                                <w:sz w:val="20"/>
                                <w:szCs w:val="20"/>
                              </w:rPr>
                            </w:pPr>
                          </w:p>
                          <w:p w:rsidR="00A33A05" w:rsidRDefault="00A33A05" w:rsidP="00A33A05">
                            <w:pPr>
                              <w:spacing w:line="276" w:lineRule="auto"/>
                              <w:rPr>
                                <w:sz w:val="20"/>
                                <w:szCs w:val="20"/>
                              </w:rPr>
                            </w:pPr>
                            <w:r w:rsidRPr="00C2069E">
                              <w:rPr>
                                <w:b/>
                                <w:sz w:val="20"/>
                                <w:szCs w:val="20"/>
                              </w:rPr>
                              <w:t>Asturias</w:t>
                            </w:r>
                            <w:r w:rsidRPr="00C2069E">
                              <w:rPr>
                                <w:sz w:val="20"/>
                                <w:szCs w:val="20"/>
                              </w:rPr>
                              <w:t>:</w:t>
                            </w:r>
                            <w:r>
                              <w:rPr>
                                <w:sz w:val="20"/>
                                <w:szCs w:val="20"/>
                              </w:rPr>
                              <w:t xml:space="preserve"> Oviedo, Salesas, Avilés y Gijón. Almacén de Llanera.</w:t>
                            </w:r>
                          </w:p>
                          <w:p w:rsidR="00A33A05" w:rsidRDefault="00A33A05" w:rsidP="00A33A05">
                            <w:pPr>
                              <w:spacing w:line="276" w:lineRule="auto"/>
                              <w:rPr>
                                <w:sz w:val="20"/>
                                <w:szCs w:val="20"/>
                              </w:rPr>
                            </w:pPr>
                          </w:p>
                          <w:p w:rsidR="00A33A05" w:rsidRDefault="00A33A05" w:rsidP="00A33A05">
                            <w:pPr>
                              <w:spacing w:line="276" w:lineRule="auto"/>
                              <w:rPr>
                                <w:sz w:val="20"/>
                                <w:szCs w:val="20"/>
                              </w:rPr>
                            </w:pPr>
                            <w:r w:rsidRPr="00C2069E">
                              <w:rPr>
                                <w:b/>
                                <w:sz w:val="20"/>
                                <w:szCs w:val="20"/>
                              </w:rPr>
                              <w:t>Cast</w:t>
                            </w:r>
                            <w:r>
                              <w:rPr>
                                <w:b/>
                                <w:sz w:val="20"/>
                                <w:szCs w:val="20"/>
                              </w:rPr>
                              <w:t>illa</w:t>
                            </w:r>
                            <w:r w:rsidRPr="00C2069E">
                              <w:rPr>
                                <w:b/>
                                <w:sz w:val="20"/>
                                <w:szCs w:val="20"/>
                              </w:rPr>
                              <w:t xml:space="preserve"> y León</w:t>
                            </w:r>
                            <w:r>
                              <w:rPr>
                                <w:sz w:val="20"/>
                                <w:szCs w:val="20"/>
                              </w:rPr>
                              <w:t>: Zorrilla, Constitución, Monasterio, Burgos, León y Salamanca. Almacenes de Cobalto (Valladolid) y Puente Castro (León).</w:t>
                            </w:r>
                          </w:p>
                          <w:p w:rsidR="00A33A05" w:rsidRDefault="00A33A05" w:rsidP="00A33A05">
                            <w:pPr>
                              <w:spacing w:line="276" w:lineRule="auto"/>
                              <w:rPr>
                                <w:sz w:val="20"/>
                                <w:szCs w:val="20"/>
                              </w:rPr>
                            </w:pPr>
                          </w:p>
                          <w:p w:rsidR="00A33A05" w:rsidRDefault="00A33A05" w:rsidP="00A33A05">
                            <w:pPr>
                              <w:spacing w:line="276" w:lineRule="auto"/>
                              <w:rPr>
                                <w:sz w:val="20"/>
                                <w:szCs w:val="20"/>
                              </w:rPr>
                            </w:pPr>
                            <w:r w:rsidRPr="00C2069E">
                              <w:rPr>
                                <w:b/>
                                <w:sz w:val="20"/>
                                <w:szCs w:val="20"/>
                              </w:rPr>
                              <w:t>Cantabria</w:t>
                            </w:r>
                            <w:r>
                              <w:rPr>
                                <w:sz w:val="20"/>
                                <w:szCs w:val="20"/>
                              </w:rPr>
                              <w:t>: Santander.</w:t>
                            </w:r>
                          </w:p>
                          <w:p w:rsidR="00A33A05" w:rsidRDefault="00A33A05" w:rsidP="00A33A05">
                            <w:pPr>
                              <w:spacing w:line="276" w:lineRule="auto"/>
                              <w:rPr>
                                <w:sz w:val="20"/>
                                <w:szCs w:val="20"/>
                              </w:rPr>
                            </w:pPr>
                          </w:p>
                          <w:p w:rsidR="00A33A05" w:rsidRPr="0007372D" w:rsidRDefault="00A33A05" w:rsidP="00A33A05">
                            <w:pPr>
                              <w:spacing w:line="276" w:lineRule="auto"/>
                              <w:rPr>
                                <w:sz w:val="20"/>
                                <w:szCs w:val="20"/>
                              </w:rPr>
                            </w:pPr>
                            <w:r w:rsidRPr="0007372D">
                              <w:rPr>
                                <w:b/>
                                <w:sz w:val="20"/>
                                <w:szCs w:val="20"/>
                              </w:rPr>
                              <w:t>Galicia</w:t>
                            </w:r>
                            <w:r w:rsidRPr="0007372D">
                              <w:rPr>
                                <w:sz w:val="20"/>
                                <w:szCs w:val="20"/>
                              </w:rPr>
                              <w:t xml:space="preserve"> (certificados en 2019): Santiago, Vigo, Ramón y Cajal y Marineda en A Coruña. Plataformas logísticas de Altamira y Porriño.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F5046C" id="_x0000_t202" coordsize="21600,21600" o:spt="202" path="m,l,21600r21600,l21600,xe">
                <v:stroke joinstyle="miter"/>
                <v:path gradientshapeok="t" o:connecttype="rect"/>
              </v:shapetype>
              <v:shape id="Cuadro de texto 2" o:spid="_x0000_s1026" type="#_x0000_t202" style="position:absolute;left:0;text-align:left;margin-left:57.55pt;margin-top:13.75pt;width:352.65pt;height:169.8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4T+78KgIAAEwEAAAOAAAAZHJzL2Uyb0RvYy54bWysVNuO2jAQfa/Uf7D8XgKULBARVlu2VJW2 F2nbDxhsh1h1PKltSOjXd+ywlN5equbB8njGx2fOzGR12zeGHZXzGm3JJ6MxZ8oKlNruS/750/bF gjMfwEowaFXJT8rz2/XzZ6uuLdQUazRSOUYg1hddW/I6hLbIMi9q1YAfYassOSt0DQQy3T6TDjpC b0w2HY9vsg6dbB0K5T2d3g9Ovk74VaVE+FBVXgVmSk7cQlpdWndxzdYrKPYO2lqLMw34BxYNaEuP XqDuIQA7OP0bVKOFQ49VGAlsMqwqLVTKgbKZjH/J5rGGVqVcSBzfXmTy/w9WvD9+dEzLkr/kzEJD JdocQDpkUrGg+oBsGkXqWl9Q7GNL0aF/hT0VOyXs2wcUXzyzuKnB7tWdc9jVCiSRnMSb2dXVAcdH kF33DiW9BoeACaivXBMVJE0YoVOxTpcCEQ8m6HA2my9u8pwzQb7pJJ+Pl3l6A4qn663z4Y3ChsVN yR11QIKH44MPkQ4UTyHxNY9Gy602Jhluv9sYx45A3bJN3xn9pzBjWVfyZT7NBwX+CjFO358gGh2o 7Y1uSr64BEERdXttZWrKANoMe6Js7FnIqN2gYuh3/bkwO5QnktTh0N40jrSp0X3jrKPWLrn/egCn ODNvLZVlOZnN4iwkY5bPp2S4a8/u2gNWEFTJA2fDdhPS/ETBLN5R+SqdhI11HpicuVLLJr3P4xVn 4tpOUT9+AuvvAAAA//8DAFBLAwQUAAYACAAAACEA92OhEeAAAAAKAQAADwAAAGRycy9kb3ducmV2 LnhtbEyPwU7DMBBE70j8g7VIXBB1krZJCHEqhASiNygIrm7sJhH2OthuGv6e5QTH0T7NvK03szVs 0j4MDgWkiwSYxtapATsBb68P1yWwECUqaRxqAd86wKY5P6tlpdwJX/S0ix2jEgyVFNDHOFach7bX VoaFGzXS7eC8lZGi77jy8kTl1vAsSXJu5YC00MtR3/e6/dwdrYBy9TR9hO3y+b3ND+YmXhXT45cX 4vJivrsFFvUc/2D41Sd1aMhp746oAjOU03VKqICsWAMjoMySFbC9gGVeZMCbmv9/ofkBAAD//wMA UEsBAi0AFAAGAAgAAAAhALaDOJL+AAAA4QEAABMAAAAAAAAAAAAAAAAAAAAAAFtDb250ZW50X1R5 cGVzXS54bWxQSwECLQAUAAYACAAAACEAOP0h/9YAAACUAQAACwAAAAAAAAAAAAAAAAAvAQAAX3Jl bHMvLnJlbHNQSwECLQAUAAYACAAAACEAOE/u/CoCAABMBAAADgAAAAAAAAAAAAAAAAAuAgAAZHJz L2Uyb0RvYy54bWxQSwECLQAUAAYACAAAACEA92OhEeAAAAAKAQAADwAAAAAAAAAAAAAAAACEBAAA ZHJzL2Rvd25yZXYueG1sUEsFBgAAAAAEAAQA8wAAAJEFAAAAAA== ">
                <v:textbox>
                  <w:txbxContent>
                    <w:p w:rsidR="00A33A05" w:rsidRPr="00A33A05" w:rsidRDefault="00A33A05" w:rsidP="00A33A05">
                      <w:pPr>
                        <w:spacing w:line="276" w:lineRule="auto"/>
                        <w:jc w:val="center"/>
                        <w:rPr>
                          <w:b/>
                          <w:color w:val="009900"/>
                          <w:sz w:val="24"/>
                          <w:szCs w:val="24"/>
                        </w:rPr>
                      </w:pPr>
                      <w:r w:rsidRPr="00A33A05">
                        <w:rPr>
                          <w:b/>
                          <w:color w:val="009900"/>
                          <w:sz w:val="24"/>
                          <w:szCs w:val="24"/>
                        </w:rPr>
                        <w:t>Centros certificados</w:t>
                      </w:r>
                    </w:p>
                    <w:p w:rsidR="00A33A05" w:rsidRDefault="00A33A05" w:rsidP="00A33A05">
                      <w:pPr>
                        <w:spacing w:line="276" w:lineRule="auto"/>
                        <w:rPr>
                          <w:sz w:val="20"/>
                          <w:szCs w:val="20"/>
                        </w:rPr>
                      </w:pPr>
                    </w:p>
                    <w:p w:rsidR="00A33A05" w:rsidRDefault="00A33A05" w:rsidP="00A33A05">
                      <w:pPr>
                        <w:spacing w:line="276" w:lineRule="auto"/>
                        <w:rPr>
                          <w:sz w:val="20"/>
                          <w:szCs w:val="20"/>
                        </w:rPr>
                      </w:pPr>
                      <w:r w:rsidRPr="00C2069E">
                        <w:rPr>
                          <w:b/>
                          <w:sz w:val="20"/>
                          <w:szCs w:val="20"/>
                        </w:rPr>
                        <w:t>Asturias</w:t>
                      </w:r>
                      <w:r w:rsidRPr="00C2069E">
                        <w:rPr>
                          <w:sz w:val="20"/>
                          <w:szCs w:val="20"/>
                        </w:rPr>
                        <w:t>:</w:t>
                      </w:r>
                      <w:r>
                        <w:rPr>
                          <w:sz w:val="20"/>
                          <w:szCs w:val="20"/>
                        </w:rPr>
                        <w:t xml:space="preserve"> Oviedo, Salesas, Avilés y Gijón. Almacén de Llanera.</w:t>
                      </w:r>
                    </w:p>
                    <w:p w:rsidR="00A33A05" w:rsidRDefault="00A33A05" w:rsidP="00A33A05">
                      <w:pPr>
                        <w:spacing w:line="276" w:lineRule="auto"/>
                        <w:rPr>
                          <w:sz w:val="20"/>
                          <w:szCs w:val="20"/>
                        </w:rPr>
                      </w:pPr>
                    </w:p>
                    <w:p w:rsidR="00A33A05" w:rsidRDefault="00A33A05" w:rsidP="00A33A05">
                      <w:pPr>
                        <w:spacing w:line="276" w:lineRule="auto"/>
                        <w:rPr>
                          <w:sz w:val="20"/>
                          <w:szCs w:val="20"/>
                        </w:rPr>
                      </w:pPr>
                      <w:r w:rsidRPr="00C2069E">
                        <w:rPr>
                          <w:b/>
                          <w:sz w:val="20"/>
                          <w:szCs w:val="20"/>
                        </w:rPr>
                        <w:t>Cast</w:t>
                      </w:r>
                      <w:r>
                        <w:rPr>
                          <w:b/>
                          <w:sz w:val="20"/>
                          <w:szCs w:val="20"/>
                        </w:rPr>
                        <w:t>illa</w:t>
                      </w:r>
                      <w:r w:rsidRPr="00C2069E">
                        <w:rPr>
                          <w:b/>
                          <w:sz w:val="20"/>
                          <w:szCs w:val="20"/>
                        </w:rPr>
                        <w:t xml:space="preserve"> y León</w:t>
                      </w:r>
                      <w:r>
                        <w:rPr>
                          <w:sz w:val="20"/>
                          <w:szCs w:val="20"/>
                        </w:rPr>
                        <w:t>: Zorrilla, Constitución, Monasterio, Burgos, León y Salamanca. Almacenes de Cobalto (Valladolid) y Puente Castro (León).</w:t>
                      </w:r>
                    </w:p>
                    <w:p w:rsidR="00A33A05" w:rsidRDefault="00A33A05" w:rsidP="00A33A05">
                      <w:pPr>
                        <w:spacing w:line="276" w:lineRule="auto"/>
                        <w:rPr>
                          <w:sz w:val="20"/>
                          <w:szCs w:val="20"/>
                        </w:rPr>
                      </w:pPr>
                    </w:p>
                    <w:p w:rsidR="00A33A05" w:rsidRDefault="00A33A05" w:rsidP="00A33A05">
                      <w:pPr>
                        <w:spacing w:line="276" w:lineRule="auto"/>
                        <w:rPr>
                          <w:sz w:val="20"/>
                          <w:szCs w:val="20"/>
                        </w:rPr>
                      </w:pPr>
                      <w:r w:rsidRPr="00C2069E">
                        <w:rPr>
                          <w:b/>
                          <w:sz w:val="20"/>
                          <w:szCs w:val="20"/>
                        </w:rPr>
                        <w:t>Cantabria</w:t>
                      </w:r>
                      <w:r>
                        <w:rPr>
                          <w:sz w:val="20"/>
                          <w:szCs w:val="20"/>
                        </w:rPr>
                        <w:t>: Santander.</w:t>
                      </w:r>
                    </w:p>
                    <w:p w:rsidR="00A33A05" w:rsidRDefault="00A33A05" w:rsidP="00A33A05">
                      <w:pPr>
                        <w:spacing w:line="276" w:lineRule="auto"/>
                        <w:rPr>
                          <w:sz w:val="20"/>
                          <w:szCs w:val="20"/>
                        </w:rPr>
                      </w:pPr>
                    </w:p>
                    <w:p w:rsidR="00A33A05" w:rsidRPr="0007372D" w:rsidRDefault="00A33A05" w:rsidP="00A33A05">
                      <w:pPr>
                        <w:spacing w:line="276" w:lineRule="auto"/>
                        <w:rPr>
                          <w:sz w:val="20"/>
                          <w:szCs w:val="20"/>
                        </w:rPr>
                      </w:pPr>
                      <w:r w:rsidRPr="0007372D">
                        <w:rPr>
                          <w:b/>
                          <w:sz w:val="20"/>
                          <w:szCs w:val="20"/>
                        </w:rPr>
                        <w:t>Galicia</w:t>
                      </w:r>
                      <w:r w:rsidRPr="0007372D">
                        <w:rPr>
                          <w:sz w:val="20"/>
                          <w:szCs w:val="20"/>
                        </w:rPr>
                        <w:t xml:space="preserve"> (certificados en 2019): Santiago, Vigo, Ramón y Cajal y Marineda en A Coruña. Plataformas logísticas de Altamira y Porriño.</w:t>
                      </w:r>
                    </w:p>
                  </w:txbxContent>
                </v:textbox>
                <w10:wrap type="square"/>
              </v:shape>
            </w:pict>
          </mc:Fallback>
        </mc:AlternateContent>
      </w:r>
    </w:p>
    <w:p w:rsidR="00A33A05" w:rsidRDefault="00A33A05">
      <w:pPr>
        <w:pStyle w:val="NormalWeb"/>
        <w:shd w:val="clear" w:color="auto" w:fill="FFFFFF"/>
        <w:spacing w:before="0" w:after="0" w:line="360" w:lineRule="auto"/>
        <w:jc w:val="both"/>
        <w:rPr>
          <w:rStyle w:val="Ninguno"/>
          <w:rFonts w:ascii="Century Gothic" w:hAnsi="Century Gothic"/>
          <w:sz w:val="22"/>
          <w:szCs w:val="22"/>
        </w:rPr>
      </w:pPr>
    </w:p>
    <w:p w:rsidR="00A33A05" w:rsidRDefault="00A33A05">
      <w:pPr>
        <w:pStyle w:val="NormalWeb"/>
        <w:shd w:val="clear" w:color="auto" w:fill="FFFFFF"/>
        <w:spacing w:before="0" w:after="0" w:line="360" w:lineRule="auto"/>
        <w:jc w:val="both"/>
        <w:rPr>
          <w:rStyle w:val="Ninguno"/>
          <w:rFonts w:ascii="Century Gothic" w:hAnsi="Century Gothic"/>
          <w:sz w:val="22"/>
          <w:szCs w:val="22"/>
        </w:rPr>
      </w:pPr>
    </w:p>
    <w:p w:rsidR="00A33A05" w:rsidRDefault="00A33A05">
      <w:pPr>
        <w:pStyle w:val="NormalWeb"/>
        <w:shd w:val="clear" w:color="auto" w:fill="FFFFFF"/>
        <w:spacing w:before="0" w:after="0" w:line="360" w:lineRule="auto"/>
        <w:jc w:val="both"/>
        <w:rPr>
          <w:rStyle w:val="Ninguno"/>
          <w:rFonts w:ascii="Century Gothic" w:hAnsi="Century Gothic"/>
          <w:sz w:val="22"/>
          <w:szCs w:val="22"/>
        </w:rPr>
      </w:pPr>
    </w:p>
    <w:p w:rsidR="00A33A05" w:rsidRDefault="00A33A05">
      <w:pPr>
        <w:pStyle w:val="NormalWeb"/>
        <w:shd w:val="clear" w:color="auto" w:fill="FFFFFF"/>
        <w:spacing w:before="0" w:after="0" w:line="360" w:lineRule="auto"/>
        <w:jc w:val="both"/>
        <w:rPr>
          <w:rStyle w:val="Ninguno"/>
          <w:rFonts w:ascii="Century Gothic" w:hAnsi="Century Gothic"/>
          <w:sz w:val="22"/>
          <w:szCs w:val="22"/>
        </w:rPr>
      </w:pPr>
    </w:p>
    <w:p w:rsidR="00A33A05" w:rsidRDefault="00A33A05">
      <w:pPr>
        <w:pStyle w:val="NormalWeb"/>
        <w:shd w:val="clear" w:color="auto" w:fill="FFFFFF"/>
        <w:spacing w:before="0" w:after="0" w:line="360" w:lineRule="auto"/>
        <w:jc w:val="both"/>
        <w:rPr>
          <w:rStyle w:val="Ninguno"/>
          <w:rFonts w:ascii="Century Gothic" w:hAnsi="Century Gothic"/>
          <w:sz w:val="22"/>
          <w:szCs w:val="22"/>
        </w:rPr>
      </w:pPr>
    </w:p>
    <w:p w:rsidR="00A33A05" w:rsidRDefault="00A33A05">
      <w:pPr>
        <w:pStyle w:val="NormalWeb"/>
        <w:shd w:val="clear" w:color="auto" w:fill="FFFFFF"/>
        <w:spacing w:before="0" w:after="0" w:line="360" w:lineRule="auto"/>
        <w:jc w:val="both"/>
        <w:rPr>
          <w:rStyle w:val="Ninguno"/>
          <w:rFonts w:ascii="Century Gothic" w:hAnsi="Century Gothic"/>
          <w:sz w:val="22"/>
          <w:szCs w:val="22"/>
        </w:rPr>
      </w:pPr>
    </w:p>
    <w:p w:rsidR="00A33A05" w:rsidRDefault="00A33A05">
      <w:pPr>
        <w:pStyle w:val="NormalWeb"/>
        <w:shd w:val="clear" w:color="auto" w:fill="FFFFFF"/>
        <w:spacing w:before="0" w:after="0" w:line="360" w:lineRule="auto"/>
        <w:jc w:val="both"/>
        <w:rPr>
          <w:rStyle w:val="Ninguno"/>
          <w:rFonts w:ascii="Century Gothic" w:hAnsi="Century Gothic"/>
          <w:sz w:val="22"/>
          <w:szCs w:val="22"/>
        </w:rPr>
      </w:pPr>
    </w:p>
    <w:p w:rsidR="00A33A05" w:rsidRDefault="00A33A05">
      <w:pPr>
        <w:pStyle w:val="NormalWeb"/>
        <w:shd w:val="clear" w:color="auto" w:fill="FFFFFF"/>
        <w:spacing w:before="0" w:after="0" w:line="360" w:lineRule="auto"/>
        <w:jc w:val="both"/>
        <w:rPr>
          <w:rStyle w:val="Ninguno"/>
          <w:rFonts w:ascii="Century Gothic" w:hAnsi="Century Gothic"/>
          <w:sz w:val="22"/>
          <w:szCs w:val="22"/>
        </w:rPr>
      </w:pPr>
    </w:p>
    <w:p w:rsidR="00A33A05" w:rsidRDefault="00A33A05">
      <w:pPr>
        <w:pStyle w:val="NormalWeb"/>
        <w:shd w:val="clear" w:color="auto" w:fill="FFFFFF"/>
        <w:spacing w:before="0" w:after="0" w:line="360" w:lineRule="auto"/>
        <w:jc w:val="both"/>
        <w:rPr>
          <w:rStyle w:val="Ninguno"/>
          <w:rFonts w:ascii="Century Gothic" w:hAnsi="Century Gothic"/>
          <w:sz w:val="22"/>
          <w:szCs w:val="22"/>
        </w:rPr>
      </w:pPr>
    </w:p>
    <w:p w:rsidR="00F062B2" w:rsidRDefault="00E14700">
      <w:pPr>
        <w:pStyle w:val="NormalWeb"/>
        <w:shd w:val="clear" w:color="auto" w:fill="FFFFFF"/>
        <w:spacing w:before="0" w:after="0" w:line="360" w:lineRule="auto"/>
        <w:jc w:val="both"/>
        <w:rPr>
          <w:rStyle w:val="Ninguno"/>
          <w:rFonts w:ascii="Century Gothic" w:eastAsia="Century Gothic" w:hAnsi="Century Gothic" w:cs="Century Gothic"/>
          <w:sz w:val="22"/>
          <w:szCs w:val="22"/>
        </w:rPr>
      </w:pPr>
      <w:bookmarkStart w:id="0" w:name="_GoBack"/>
      <w:bookmarkEnd w:id="0"/>
      <w:r>
        <w:rPr>
          <w:rStyle w:val="Ninguno"/>
          <w:rFonts w:ascii="Century Gothic" w:hAnsi="Century Gothic"/>
          <w:sz w:val="22"/>
          <w:szCs w:val="22"/>
        </w:rPr>
        <w:t>E</w:t>
      </w:r>
      <w:r w:rsidR="00355B7D">
        <w:rPr>
          <w:rStyle w:val="Ninguno"/>
          <w:rFonts w:ascii="Century Gothic" w:hAnsi="Century Gothic"/>
          <w:sz w:val="22"/>
          <w:szCs w:val="22"/>
        </w:rPr>
        <w:t xml:space="preserve">l certificado AENOR de Residuo Cero acredita que El Corte Inglés valoriza al menos el 90% de todas sus fracciones de residuos, evitando que estos tengan como destino final el vertedero. Este certificado ayuda a las organizaciones a optimizar procesos, poniendo el </w:t>
      </w:r>
      <w:r w:rsidR="00355B7D">
        <w:rPr>
          <w:rStyle w:val="Ninguno"/>
          <w:rFonts w:ascii="Century Gothic" w:hAnsi="Century Gothic"/>
          <w:sz w:val="22"/>
          <w:szCs w:val="22"/>
        </w:rPr>
        <w:lastRenderedPageBreak/>
        <w:t>foco en los puntos de generación de residuos y contribuyendo al impulso de la Economía Circular</w:t>
      </w:r>
      <w:r w:rsidR="00355B7D" w:rsidRPr="00C61DFB">
        <w:rPr>
          <w:rStyle w:val="Ninguno"/>
          <w:rFonts w:ascii="Century Gothic" w:hAnsi="Century Gothic"/>
          <w:color w:val="auto"/>
          <w:sz w:val="22"/>
          <w:szCs w:val="22"/>
        </w:rPr>
        <w:t>, ya que se prioriza la reutilización y el reciclaje, aprovechando los residuos como</w:t>
      </w:r>
      <w:r w:rsidR="00355B7D">
        <w:rPr>
          <w:rStyle w:val="Ninguno"/>
          <w:rFonts w:ascii="Century Gothic" w:hAnsi="Century Gothic"/>
          <w:sz w:val="22"/>
          <w:szCs w:val="22"/>
        </w:rPr>
        <w:t xml:space="preserve"> materia prima para nuevos procesos. De esta forma</w:t>
      </w:r>
      <w:r w:rsidR="0056734C">
        <w:rPr>
          <w:rStyle w:val="Ninguno"/>
          <w:rFonts w:ascii="Century Gothic" w:hAnsi="Century Gothic"/>
          <w:sz w:val="22"/>
          <w:szCs w:val="22"/>
        </w:rPr>
        <w:t>,</w:t>
      </w:r>
      <w:r w:rsidR="00355B7D">
        <w:rPr>
          <w:rStyle w:val="Ninguno"/>
          <w:rFonts w:ascii="Century Gothic" w:hAnsi="Century Gothic"/>
          <w:sz w:val="22"/>
          <w:szCs w:val="22"/>
        </w:rPr>
        <w:t xml:space="preserve"> la empresa se adelanta a las nuevas directrices europeas.</w:t>
      </w:r>
    </w:p>
    <w:p w:rsidR="00991C93" w:rsidRPr="00E14700" w:rsidRDefault="00355B7D">
      <w:pPr>
        <w:pStyle w:val="NormalWeb"/>
        <w:shd w:val="clear" w:color="auto" w:fill="FFFFFF"/>
        <w:spacing w:before="0" w:after="0" w:line="360" w:lineRule="auto"/>
        <w:jc w:val="both"/>
        <w:rPr>
          <w:rStyle w:val="Ninguno"/>
          <w:rFonts w:ascii="Century Gothic" w:eastAsia="Century Gothic" w:hAnsi="Century Gothic" w:cs="Century Gothic"/>
          <w:sz w:val="22"/>
          <w:szCs w:val="22"/>
        </w:rPr>
      </w:pPr>
      <w:r>
        <w:rPr>
          <w:rStyle w:val="Ninguno"/>
          <w:rFonts w:ascii="Century Gothic" w:hAnsi="Century Gothic"/>
          <w:sz w:val="22"/>
          <w:szCs w:val="22"/>
        </w:rPr>
        <w:t xml:space="preserve"> </w:t>
      </w:r>
    </w:p>
    <w:p w:rsidR="00E14700" w:rsidRDefault="00355B7D">
      <w:pPr>
        <w:pStyle w:val="NormalWeb"/>
        <w:shd w:val="clear" w:color="auto" w:fill="FFFFFF"/>
        <w:spacing w:before="0" w:after="0" w:line="360" w:lineRule="auto"/>
        <w:jc w:val="both"/>
        <w:rPr>
          <w:rFonts w:ascii="Century Gothic" w:hAnsi="Century Gothic"/>
          <w:sz w:val="22"/>
          <w:szCs w:val="22"/>
        </w:rPr>
      </w:pPr>
      <w:r>
        <w:rPr>
          <w:rStyle w:val="Ninguno"/>
          <w:rFonts w:ascii="Century Gothic" w:hAnsi="Century Gothic"/>
          <w:sz w:val="22"/>
          <w:szCs w:val="22"/>
        </w:rPr>
        <w:t xml:space="preserve">Para lograr este objetivo, la compañía ha contado con la colaboración de una consultora especializada, así como con el compromiso </w:t>
      </w:r>
      <w:r w:rsidR="00E14700">
        <w:rPr>
          <w:rStyle w:val="Ninguno"/>
          <w:rFonts w:ascii="Century Gothic" w:hAnsi="Century Gothic"/>
          <w:sz w:val="22"/>
          <w:szCs w:val="22"/>
        </w:rPr>
        <w:t>e</w:t>
      </w:r>
      <w:r>
        <w:rPr>
          <w:rStyle w:val="Ninguno"/>
          <w:rFonts w:ascii="Century Gothic" w:hAnsi="Century Gothic"/>
          <w:sz w:val="22"/>
          <w:szCs w:val="22"/>
        </w:rPr>
        <w:t xml:space="preserve"> implicación de sus empleados, que en unos meses han conseguido adaptar el funcionamiento de sus centros y almacenes a un sistema sostenible, minimizando el impacto de su actividad hasta alcanzar la certificación Residuo Cero. </w:t>
      </w:r>
      <w:r w:rsidR="00E14700" w:rsidRPr="00474654">
        <w:rPr>
          <w:rFonts w:ascii="Century Gothic" w:hAnsi="Century Gothic"/>
          <w:sz w:val="22"/>
          <w:szCs w:val="22"/>
        </w:rPr>
        <w:t xml:space="preserve">El Corte Inglés </w:t>
      </w:r>
      <w:r w:rsidR="00E14700">
        <w:rPr>
          <w:rFonts w:ascii="Century Gothic" w:hAnsi="Century Gothic"/>
          <w:sz w:val="22"/>
          <w:szCs w:val="22"/>
        </w:rPr>
        <w:t>fue</w:t>
      </w:r>
      <w:r w:rsidR="00E14700" w:rsidRPr="00474654">
        <w:rPr>
          <w:rFonts w:ascii="Century Gothic" w:hAnsi="Century Gothic"/>
          <w:sz w:val="22"/>
          <w:szCs w:val="22"/>
        </w:rPr>
        <w:t xml:space="preserve"> en la primera empresa española de distribución en obtener </w:t>
      </w:r>
      <w:r w:rsidR="00E14700">
        <w:rPr>
          <w:rFonts w:ascii="Century Gothic" w:hAnsi="Century Gothic"/>
          <w:sz w:val="22"/>
          <w:szCs w:val="22"/>
        </w:rPr>
        <w:t>esta</w:t>
      </w:r>
      <w:r w:rsidR="00E14700" w:rsidRPr="00474654">
        <w:rPr>
          <w:rFonts w:ascii="Century Gothic" w:hAnsi="Century Gothic"/>
          <w:sz w:val="22"/>
          <w:szCs w:val="22"/>
        </w:rPr>
        <w:t xml:space="preserve"> certificación para sus centros comerciales</w:t>
      </w:r>
      <w:r w:rsidR="00E14700">
        <w:rPr>
          <w:rFonts w:ascii="Century Gothic" w:hAnsi="Century Gothic"/>
          <w:sz w:val="22"/>
          <w:szCs w:val="22"/>
        </w:rPr>
        <w:t>.</w:t>
      </w:r>
    </w:p>
    <w:p w:rsidR="00A33A05" w:rsidRDefault="00A33A05">
      <w:pPr>
        <w:pStyle w:val="NormalWeb"/>
        <w:shd w:val="clear" w:color="auto" w:fill="FFFFFF"/>
        <w:spacing w:before="0" w:after="0" w:line="360" w:lineRule="auto"/>
        <w:jc w:val="both"/>
        <w:rPr>
          <w:rFonts w:ascii="Century Gothic" w:hAnsi="Century Gothic"/>
          <w:sz w:val="22"/>
          <w:szCs w:val="22"/>
        </w:rPr>
      </w:pPr>
    </w:p>
    <w:p w:rsidR="00F062B2" w:rsidRDefault="00355B7D">
      <w:pPr>
        <w:pStyle w:val="NormalWeb"/>
        <w:shd w:val="clear" w:color="auto" w:fill="FFFFFF"/>
        <w:spacing w:before="0" w:after="0" w:line="360" w:lineRule="auto"/>
        <w:jc w:val="both"/>
        <w:rPr>
          <w:rStyle w:val="Ninguno"/>
          <w:rFonts w:ascii="Century Gothic" w:eastAsia="Century Gothic" w:hAnsi="Century Gothic" w:cs="Century Gothic"/>
          <w:sz w:val="22"/>
          <w:szCs w:val="22"/>
        </w:rPr>
      </w:pPr>
      <w:r>
        <w:rPr>
          <w:rStyle w:val="Ninguno"/>
          <w:rFonts w:ascii="Century Gothic" w:hAnsi="Century Gothic"/>
          <w:sz w:val="22"/>
          <w:szCs w:val="22"/>
        </w:rPr>
        <w:t>La actividad desarrollada por El Corte Inglés genera más de 50 fracciones diferentes de residuos, que se segregan correctamente para su valorización. Estos residuos proceden tanto de las actividades propias del negocio como de los hogares de los clientes.</w:t>
      </w:r>
    </w:p>
    <w:p w:rsidR="00F062B2" w:rsidRDefault="00F062B2">
      <w:pPr>
        <w:pStyle w:val="NormalWeb"/>
        <w:shd w:val="clear" w:color="auto" w:fill="FFFFFF"/>
        <w:spacing w:before="0" w:after="0" w:line="360" w:lineRule="auto"/>
        <w:jc w:val="both"/>
        <w:rPr>
          <w:rFonts w:ascii="Century Gothic" w:eastAsia="Century Gothic" w:hAnsi="Century Gothic" w:cs="Century Gothic"/>
          <w:sz w:val="22"/>
          <w:szCs w:val="22"/>
        </w:rPr>
      </w:pPr>
    </w:p>
    <w:p w:rsidR="00F062B2" w:rsidRPr="00C61DFB" w:rsidRDefault="00355B7D">
      <w:pPr>
        <w:pStyle w:val="NormalWeb"/>
        <w:shd w:val="clear" w:color="auto" w:fill="FFFFFF"/>
        <w:spacing w:before="0" w:after="0" w:line="360" w:lineRule="auto"/>
        <w:jc w:val="both"/>
        <w:rPr>
          <w:rStyle w:val="Ninguno"/>
          <w:rFonts w:ascii="Century Gothic" w:eastAsia="Century Gothic" w:hAnsi="Century Gothic" w:cs="Century Gothic"/>
          <w:sz w:val="22"/>
          <w:szCs w:val="22"/>
        </w:rPr>
      </w:pPr>
      <w:r>
        <w:rPr>
          <w:rStyle w:val="Ninguno"/>
          <w:rFonts w:ascii="Century Gothic" w:hAnsi="Century Gothic"/>
          <w:sz w:val="22"/>
          <w:szCs w:val="22"/>
        </w:rPr>
        <w:t>Entre las acciones que se han puesto en marcha con este fin destacan la reorganización de las rutas logísticas y la optimización de la carga de los vehículos –con la consiguiente reducción de las emisiones de CO</w:t>
      </w:r>
      <w:r>
        <w:rPr>
          <w:rStyle w:val="Ninguno"/>
          <w:rFonts w:ascii="Century Gothic" w:hAnsi="Century Gothic"/>
          <w:sz w:val="22"/>
          <w:szCs w:val="22"/>
          <w:vertAlign w:val="subscript"/>
        </w:rPr>
        <w:t>2</w:t>
      </w:r>
      <w:r>
        <w:rPr>
          <w:rStyle w:val="Ninguno"/>
          <w:rFonts w:ascii="Century Gothic" w:hAnsi="Century Gothic"/>
          <w:sz w:val="22"/>
          <w:szCs w:val="22"/>
        </w:rPr>
        <w:t xml:space="preserve">–. </w:t>
      </w:r>
      <w:r w:rsidR="00C31BED">
        <w:rPr>
          <w:rStyle w:val="Ninguno"/>
          <w:rFonts w:ascii="Century Gothic" w:hAnsi="Century Gothic"/>
          <w:sz w:val="22"/>
          <w:szCs w:val="22"/>
        </w:rPr>
        <w:t xml:space="preserve">En los </w:t>
      </w:r>
      <w:r w:rsidR="00C2069E">
        <w:rPr>
          <w:rStyle w:val="Ninguno"/>
          <w:rFonts w:ascii="Century Gothic" w:hAnsi="Century Gothic"/>
          <w:sz w:val="22"/>
          <w:szCs w:val="22"/>
        </w:rPr>
        <w:t>c</w:t>
      </w:r>
      <w:r w:rsidR="00C31BED">
        <w:rPr>
          <w:rStyle w:val="Ninguno"/>
          <w:rFonts w:ascii="Century Gothic" w:hAnsi="Century Gothic"/>
          <w:sz w:val="22"/>
          <w:szCs w:val="22"/>
        </w:rPr>
        <w:t>entros en los que está implantado e</w:t>
      </w:r>
      <w:r>
        <w:rPr>
          <w:rStyle w:val="Ninguno"/>
          <w:rFonts w:ascii="Century Gothic" w:hAnsi="Century Gothic"/>
          <w:sz w:val="22"/>
          <w:szCs w:val="22"/>
        </w:rPr>
        <w:t>ste sistema</w:t>
      </w:r>
      <w:r w:rsidR="00C31BED">
        <w:rPr>
          <w:rStyle w:val="Ninguno"/>
          <w:rFonts w:ascii="Century Gothic" w:hAnsi="Century Gothic"/>
          <w:sz w:val="22"/>
          <w:szCs w:val="22"/>
        </w:rPr>
        <w:t xml:space="preserve">, se logrará </w:t>
      </w:r>
      <w:r w:rsidR="00C31BED" w:rsidRPr="00C61DFB">
        <w:rPr>
          <w:rStyle w:val="Ninguno"/>
          <w:rFonts w:ascii="Century Gothic" w:hAnsi="Century Gothic"/>
          <w:sz w:val="22"/>
          <w:szCs w:val="22"/>
        </w:rPr>
        <w:t>la donación de más de</w:t>
      </w:r>
      <w:r w:rsidR="00C31BED">
        <w:rPr>
          <w:rStyle w:val="Ninguno"/>
          <w:rFonts w:ascii="Century Gothic" w:hAnsi="Century Gothic"/>
          <w:sz w:val="22"/>
          <w:szCs w:val="22"/>
        </w:rPr>
        <w:t xml:space="preserve"> 325</w:t>
      </w:r>
      <w:r w:rsidR="00C31BED" w:rsidRPr="00C61DFB">
        <w:rPr>
          <w:rStyle w:val="Ninguno"/>
          <w:rFonts w:ascii="Century Gothic" w:hAnsi="Century Gothic"/>
          <w:sz w:val="22"/>
          <w:szCs w:val="22"/>
        </w:rPr>
        <w:t xml:space="preserve"> toneladas a Banco</w:t>
      </w:r>
      <w:r w:rsidR="00C31BED">
        <w:rPr>
          <w:rStyle w:val="Ninguno"/>
          <w:rFonts w:ascii="Century Gothic" w:hAnsi="Century Gothic"/>
          <w:sz w:val="22"/>
          <w:szCs w:val="22"/>
        </w:rPr>
        <w:t>s</w:t>
      </w:r>
      <w:r w:rsidR="00C31BED" w:rsidRPr="00C61DFB">
        <w:rPr>
          <w:rStyle w:val="Ninguno"/>
          <w:rFonts w:ascii="Century Gothic" w:hAnsi="Century Gothic"/>
          <w:sz w:val="22"/>
          <w:szCs w:val="22"/>
        </w:rPr>
        <w:t xml:space="preserve"> de Alimentos u otras ONG</w:t>
      </w:r>
      <w:r w:rsidR="00C31BED">
        <w:rPr>
          <w:rStyle w:val="Ninguno"/>
          <w:rFonts w:ascii="Century Gothic" w:hAnsi="Century Gothic"/>
          <w:sz w:val="22"/>
          <w:szCs w:val="22"/>
        </w:rPr>
        <w:t>,</w:t>
      </w:r>
      <w:r w:rsidR="00C31BED" w:rsidRPr="00C61DFB">
        <w:rPr>
          <w:rStyle w:val="Ninguno"/>
          <w:rFonts w:ascii="Century Gothic" w:hAnsi="Century Gothic"/>
          <w:sz w:val="22"/>
          <w:szCs w:val="22"/>
        </w:rPr>
        <w:t xml:space="preserve"> o la valorización como compost de</w:t>
      </w:r>
      <w:r w:rsidR="00C31BED">
        <w:rPr>
          <w:rStyle w:val="Ninguno"/>
          <w:rFonts w:ascii="Century Gothic" w:hAnsi="Century Gothic"/>
          <w:sz w:val="22"/>
          <w:szCs w:val="22"/>
        </w:rPr>
        <w:t xml:space="preserve"> 221toneladas de residuos orgánico</w:t>
      </w:r>
      <w:r w:rsidR="00C31BED" w:rsidRPr="00C61DFB">
        <w:rPr>
          <w:rStyle w:val="Ninguno"/>
          <w:rFonts w:ascii="Century Gothic" w:hAnsi="Century Gothic"/>
          <w:sz w:val="22"/>
          <w:szCs w:val="22"/>
        </w:rPr>
        <w:t xml:space="preserve"> </w:t>
      </w:r>
      <w:r w:rsidR="00C31BED">
        <w:rPr>
          <w:rStyle w:val="Ninguno"/>
          <w:rFonts w:ascii="Century Gothic" w:hAnsi="Century Gothic"/>
          <w:sz w:val="22"/>
          <w:szCs w:val="22"/>
        </w:rPr>
        <w:t>en un año.</w:t>
      </w:r>
      <w:r w:rsidRPr="00C61DFB">
        <w:rPr>
          <w:rStyle w:val="Ninguno"/>
          <w:rFonts w:ascii="Century Gothic" w:hAnsi="Century Gothic"/>
          <w:sz w:val="22"/>
          <w:szCs w:val="22"/>
        </w:rPr>
        <w:t xml:space="preserve"> Además, casi</w:t>
      </w:r>
      <w:r w:rsidR="00C61DFB">
        <w:rPr>
          <w:rStyle w:val="Ninguno"/>
          <w:rFonts w:ascii="Century Gothic" w:hAnsi="Century Gothic"/>
          <w:sz w:val="22"/>
          <w:szCs w:val="22"/>
        </w:rPr>
        <w:t xml:space="preserve"> 272 </w:t>
      </w:r>
      <w:r w:rsidRPr="00C61DFB">
        <w:rPr>
          <w:rStyle w:val="Ninguno"/>
          <w:rFonts w:ascii="Century Gothic" w:hAnsi="Century Gothic"/>
          <w:sz w:val="22"/>
          <w:szCs w:val="22"/>
        </w:rPr>
        <w:t xml:space="preserve">toneladas de madera serán entregadas a empresas locales de transformación para que se reutilicen como materia prima, y se valorizarán cerca de </w:t>
      </w:r>
      <w:r w:rsidR="00C61DFB">
        <w:rPr>
          <w:rStyle w:val="Ninguno"/>
          <w:rFonts w:ascii="Century Gothic" w:hAnsi="Century Gothic"/>
          <w:sz w:val="22"/>
          <w:szCs w:val="22"/>
        </w:rPr>
        <w:t xml:space="preserve">2.000 </w:t>
      </w:r>
      <w:r w:rsidRPr="00C61DFB">
        <w:rPr>
          <w:rStyle w:val="Ninguno"/>
          <w:rFonts w:ascii="Century Gothic" w:hAnsi="Century Gothic"/>
          <w:sz w:val="22"/>
          <w:szCs w:val="22"/>
        </w:rPr>
        <w:t>toneladas de residuos de aparatos eléctricos y electrónicos destinados a su reutilización, recuperación o reciclaje.</w:t>
      </w:r>
    </w:p>
    <w:p w:rsidR="00F062B2" w:rsidRPr="00C61DFB" w:rsidRDefault="00F062B2">
      <w:pPr>
        <w:pStyle w:val="NormalWeb"/>
        <w:shd w:val="clear" w:color="auto" w:fill="FFFFFF"/>
        <w:spacing w:before="0" w:after="0" w:line="360" w:lineRule="auto"/>
        <w:jc w:val="both"/>
        <w:rPr>
          <w:rFonts w:ascii="Century Gothic" w:eastAsia="Century Gothic" w:hAnsi="Century Gothic" w:cs="Century Gothic"/>
          <w:sz w:val="22"/>
          <w:szCs w:val="22"/>
        </w:rPr>
      </w:pPr>
    </w:p>
    <w:p w:rsidR="00F062B2" w:rsidRDefault="00355B7D">
      <w:pPr>
        <w:pStyle w:val="NormalWeb"/>
        <w:shd w:val="clear" w:color="auto" w:fill="FFFFFF"/>
        <w:spacing w:before="0" w:after="0" w:line="360" w:lineRule="auto"/>
        <w:jc w:val="both"/>
        <w:rPr>
          <w:rStyle w:val="Ninguno"/>
          <w:rFonts w:ascii="Century Gothic" w:hAnsi="Century Gothic"/>
          <w:sz w:val="22"/>
          <w:szCs w:val="22"/>
        </w:rPr>
      </w:pPr>
      <w:r w:rsidRPr="00C61DFB">
        <w:rPr>
          <w:rStyle w:val="Ninguno"/>
          <w:rFonts w:ascii="Century Gothic" w:hAnsi="Century Gothic"/>
          <w:sz w:val="22"/>
          <w:szCs w:val="22"/>
        </w:rPr>
        <w:t xml:space="preserve">Con éstas y otras medidas se </w:t>
      </w:r>
      <w:r w:rsidRPr="00C61DFB">
        <w:rPr>
          <w:rStyle w:val="Ninguno"/>
          <w:rFonts w:ascii="Century Gothic" w:hAnsi="Century Gothic"/>
          <w:color w:val="auto"/>
          <w:sz w:val="22"/>
          <w:szCs w:val="22"/>
        </w:rPr>
        <w:t>logrará e</w:t>
      </w:r>
      <w:r w:rsidRPr="00C61DFB">
        <w:rPr>
          <w:rStyle w:val="Ninguno"/>
          <w:rFonts w:ascii="Century Gothic" w:hAnsi="Century Gothic"/>
          <w:sz w:val="22"/>
          <w:szCs w:val="22"/>
        </w:rPr>
        <w:t>vitar que llegue a vertedero el equivalente a los residuos generados durante un día por</w:t>
      </w:r>
      <w:r w:rsidR="00C61DFB">
        <w:rPr>
          <w:rStyle w:val="Ninguno"/>
          <w:rFonts w:ascii="Century Gothic" w:hAnsi="Century Gothic"/>
          <w:sz w:val="22"/>
          <w:szCs w:val="22"/>
        </w:rPr>
        <w:t xml:space="preserve"> 379.167</w:t>
      </w:r>
      <w:r w:rsidRPr="00C61DFB">
        <w:rPr>
          <w:rStyle w:val="Ninguno"/>
          <w:rFonts w:ascii="Century Gothic" w:hAnsi="Century Gothic"/>
          <w:sz w:val="22"/>
          <w:szCs w:val="22"/>
        </w:rPr>
        <w:t xml:space="preserve"> ciudadanos (una población similar a la de Oviedo y Salamanca juntas), con el consiguiente</w:t>
      </w:r>
      <w:r>
        <w:rPr>
          <w:rStyle w:val="Ninguno"/>
          <w:rFonts w:ascii="Century Gothic" w:hAnsi="Century Gothic"/>
          <w:sz w:val="22"/>
          <w:szCs w:val="22"/>
        </w:rPr>
        <w:t xml:space="preserve"> impacto medioambiental en el </w:t>
      </w:r>
      <w:r>
        <w:rPr>
          <w:rStyle w:val="Ninguno"/>
          <w:rFonts w:ascii="Century Gothic" w:hAnsi="Century Gothic"/>
          <w:sz w:val="22"/>
          <w:szCs w:val="22"/>
        </w:rPr>
        <w:lastRenderedPageBreak/>
        <w:t xml:space="preserve">entorno. El proyecto desarrollado supone un paso más dentro de la estrategia medioambiental del Grupo que tiene en el Residuo Cero una de sus metas. </w:t>
      </w:r>
    </w:p>
    <w:p w:rsidR="00A33A05" w:rsidRDefault="00A33A05">
      <w:pPr>
        <w:pStyle w:val="NormalWeb"/>
        <w:shd w:val="clear" w:color="auto" w:fill="FFFFFF"/>
        <w:spacing w:before="0" w:after="0" w:line="360" w:lineRule="auto"/>
        <w:jc w:val="both"/>
        <w:rPr>
          <w:rStyle w:val="Ninguno"/>
          <w:rFonts w:ascii="Century Gothic" w:eastAsia="Century Gothic" w:hAnsi="Century Gothic" w:cs="Century Gothic"/>
          <w:sz w:val="22"/>
          <w:szCs w:val="22"/>
        </w:rPr>
      </w:pPr>
    </w:p>
    <w:p w:rsidR="00F062B2" w:rsidRDefault="00355B7D">
      <w:pPr>
        <w:pStyle w:val="P7"/>
        <w:rPr>
          <w:rStyle w:val="Ninguno"/>
          <w:b/>
          <w:bCs/>
          <w:sz w:val="22"/>
          <w:szCs w:val="22"/>
        </w:rPr>
      </w:pPr>
      <w:r>
        <w:rPr>
          <w:rStyle w:val="Ninguno"/>
          <w:sz w:val="22"/>
          <w:szCs w:val="22"/>
        </w:rPr>
        <w:t xml:space="preserve">Todas estas acciones se enmarcan en el compromiso de El Corte Inglés de vinculación con la sociedad y el medio ambiente, así como en el espíritu de cercanía que mantiene con las inquietudes de los ciudadanos. </w:t>
      </w:r>
    </w:p>
    <w:p w:rsidR="00F062B2" w:rsidRDefault="00355B7D">
      <w:pPr>
        <w:pStyle w:val="NormalWeb"/>
        <w:shd w:val="clear" w:color="auto" w:fill="FFFFFF"/>
        <w:spacing w:before="0" w:after="0" w:line="360" w:lineRule="auto"/>
        <w:jc w:val="center"/>
      </w:pPr>
      <w:r>
        <w:rPr>
          <w:noProof/>
          <w:lang w:val="es-ES"/>
        </w:rPr>
        <w:lastRenderedPageBreak/>
        <w:drawing>
          <wp:inline distT="0" distB="0" distL="0" distR="0">
            <wp:extent cx="5776218" cy="7214007"/>
            <wp:effectExtent l="0" t="0" r="0" b="0"/>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image.pdf"/>
                    <pic:cNvPicPr>
                      <a:picLocks noChangeAspect="1"/>
                    </pic:cNvPicPr>
                  </pic:nvPicPr>
                  <pic:blipFill>
                    <a:blip r:embed="rId7" cstate="print">
                      <a:extLst/>
                    </a:blip>
                    <a:stretch>
                      <a:fillRect/>
                    </a:stretch>
                  </pic:blipFill>
                  <pic:spPr>
                    <a:xfrm>
                      <a:off x="0" y="0"/>
                      <a:ext cx="5776218" cy="7214007"/>
                    </a:xfrm>
                    <a:prstGeom prst="rect">
                      <a:avLst/>
                    </a:prstGeom>
                    <a:ln w="12700" cap="flat">
                      <a:noFill/>
                      <a:miter lim="400000"/>
                    </a:ln>
                    <a:effectLst/>
                  </pic:spPr>
                </pic:pic>
              </a:graphicData>
            </a:graphic>
          </wp:inline>
        </w:drawing>
      </w:r>
    </w:p>
    <w:sectPr w:rsidR="00F062B2" w:rsidSect="00F062B2">
      <w:headerReference w:type="even" r:id="rId8"/>
      <w:headerReference w:type="default" r:id="rId9"/>
      <w:footerReference w:type="even" r:id="rId10"/>
      <w:footerReference w:type="default" r:id="rId11"/>
      <w:headerReference w:type="first" r:id="rId12"/>
      <w:footerReference w:type="first" r:id="rId13"/>
      <w:pgSz w:w="12240" w:h="15840"/>
      <w:pgMar w:top="1560" w:right="1183" w:bottom="1618" w:left="1440" w:header="964" w:footer="96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5B7D" w:rsidRDefault="00355B7D" w:rsidP="00F062B2">
      <w:r>
        <w:separator/>
      </w:r>
    </w:p>
  </w:endnote>
  <w:endnote w:type="continuationSeparator" w:id="0">
    <w:p w:rsidR="00355B7D" w:rsidRDefault="00355B7D" w:rsidP="00F062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2B2" w:rsidRDefault="00355B7D">
    <w:pPr>
      <w:pStyle w:val="Piedepgina"/>
      <w:jc w:val="right"/>
    </w:pPr>
    <w:r>
      <w:rPr>
        <w:noProof/>
        <w:lang w:val="es-ES"/>
      </w:rPr>
      <w:drawing>
        <wp:inline distT="0" distB="0" distL="0" distR="0">
          <wp:extent cx="1979811" cy="794252"/>
          <wp:effectExtent l="0" t="0" r="0"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age.png"/>
                  <pic:cNvPicPr>
                    <a:picLocks noChangeAspect="1"/>
                  </pic:cNvPicPr>
                </pic:nvPicPr>
                <pic:blipFill>
                  <a:blip r:embed="rId1">
                    <a:extLst/>
                  </a:blip>
                  <a:stretch>
                    <a:fillRect/>
                  </a:stretch>
                </pic:blipFill>
                <pic:spPr>
                  <a:xfrm>
                    <a:off x="0" y="0"/>
                    <a:ext cx="1979811" cy="794252"/>
                  </a:xfrm>
                  <a:prstGeom prst="rect">
                    <a:avLst/>
                  </a:prstGeom>
                  <a:ln w="12700" cap="flat">
                    <a:noFill/>
                    <a:miter lim="400000"/>
                  </a:ln>
                  <a:effectLst/>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2B2" w:rsidRDefault="00355B7D">
    <w:pPr>
      <w:pStyle w:val="Piedepgina"/>
      <w:jc w:val="right"/>
    </w:pPr>
    <w:r>
      <w:rPr>
        <w:noProof/>
        <w:lang w:val="es-ES"/>
      </w:rPr>
      <w:drawing>
        <wp:inline distT="0" distB="0" distL="0" distR="0">
          <wp:extent cx="1979811" cy="794252"/>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png"/>
                  <pic:cNvPicPr>
                    <a:picLocks noChangeAspect="1"/>
                  </pic:cNvPicPr>
                </pic:nvPicPr>
                <pic:blipFill>
                  <a:blip r:embed="rId1">
                    <a:extLst/>
                  </a:blip>
                  <a:stretch>
                    <a:fillRect/>
                  </a:stretch>
                </pic:blipFill>
                <pic:spPr>
                  <a:xfrm>
                    <a:off x="0" y="0"/>
                    <a:ext cx="1979811" cy="794252"/>
                  </a:xfrm>
                  <a:prstGeom prst="rect">
                    <a:avLst/>
                  </a:prstGeom>
                  <a:ln w="12700" cap="flat">
                    <a:noFill/>
                    <a:miter lim="400000"/>
                  </a:ln>
                  <a:effectLst/>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2B2" w:rsidRDefault="00355B7D">
    <w:pPr>
      <w:pStyle w:val="Piedepgina"/>
      <w:jc w:val="right"/>
    </w:pPr>
    <w:r>
      <w:rPr>
        <w:noProof/>
        <w:lang w:val="es-ES"/>
      </w:rPr>
      <w:drawing>
        <wp:inline distT="0" distB="0" distL="0" distR="0">
          <wp:extent cx="1715285" cy="683848"/>
          <wp:effectExtent l="0" t="0" r="0" b="0"/>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image.png"/>
                  <pic:cNvPicPr>
                    <a:picLocks noChangeAspect="1"/>
                  </pic:cNvPicPr>
                </pic:nvPicPr>
                <pic:blipFill>
                  <a:blip r:embed="rId1">
                    <a:extLst/>
                  </a:blip>
                  <a:stretch>
                    <a:fillRect/>
                  </a:stretch>
                </pic:blipFill>
                <pic:spPr>
                  <a:xfrm>
                    <a:off x="0" y="0"/>
                    <a:ext cx="1715285" cy="683848"/>
                  </a:xfrm>
                  <a:prstGeom prst="rect">
                    <a:avLst/>
                  </a:prstGeom>
                  <a:ln w="12700" cap="flat">
                    <a:noFill/>
                    <a:miter lim="400000"/>
                  </a:ln>
                  <a:effec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5B7D" w:rsidRDefault="00355B7D" w:rsidP="00F062B2">
      <w:r>
        <w:separator/>
      </w:r>
    </w:p>
  </w:footnote>
  <w:footnote w:type="continuationSeparator" w:id="0">
    <w:p w:rsidR="00355B7D" w:rsidRDefault="00355B7D" w:rsidP="00F062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2B2" w:rsidRDefault="00F062B2">
    <w:pPr>
      <w:pStyle w:val="Cabeceraypi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2B2" w:rsidRDefault="00355B7D">
    <w:pPr>
      <w:pStyle w:val="Encabezado"/>
      <w:rPr>
        <w:rStyle w:val="Ninguno"/>
        <w:color w:val="008000"/>
        <w:u w:color="008000"/>
        <w:lang w:val="es-ES_tradnl"/>
      </w:rPr>
    </w:pPr>
    <w:r>
      <w:rPr>
        <w:noProof/>
        <w:color w:val="008000"/>
        <w:u w:color="008000"/>
        <w:lang w:val="es-ES"/>
      </w:rPr>
      <w:drawing>
        <wp:anchor distT="152400" distB="152400" distL="152400" distR="152400" simplePos="0" relativeHeight="251656704" behindDoc="1" locked="0" layoutInCell="1" allowOverlap="1">
          <wp:simplePos x="0" y="0"/>
          <wp:positionH relativeFrom="page">
            <wp:posOffset>914400</wp:posOffset>
          </wp:positionH>
          <wp:positionV relativeFrom="page">
            <wp:posOffset>570865</wp:posOffset>
          </wp:positionV>
          <wp:extent cx="914400" cy="299721"/>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Grupo_ECI.jpg"/>
                  <pic:cNvPicPr>
                    <a:picLocks noChangeAspect="1"/>
                  </pic:cNvPicPr>
                </pic:nvPicPr>
                <pic:blipFill>
                  <a:blip r:embed="rId1">
                    <a:extLst/>
                  </a:blip>
                  <a:stretch>
                    <a:fillRect/>
                  </a:stretch>
                </pic:blipFill>
                <pic:spPr>
                  <a:xfrm>
                    <a:off x="0" y="0"/>
                    <a:ext cx="914400" cy="299721"/>
                  </a:xfrm>
                  <a:prstGeom prst="rect">
                    <a:avLst/>
                  </a:prstGeom>
                  <a:ln w="12700" cap="flat">
                    <a:noFill/>
                    <a:miter lim="400000"/>
                  </a:ln>
                  <a:effectLst/>
                </pic:spPr>
              </pic:pic>
            </a:graphicData>
          </a:graphic>
        </wp:anchor>
      </w:drawing>
    </w:r>
    <w:r>
      <w:rPr>
        <w:rStyle w:val="Ninguno"/>
        <w:lang w:val="es-ES_tradnl"/>
      </w:rPr>
      <w:tab/>
    </w:r>
    <w:r>
      <w:rPr>
        <w:rStyle w:val="Ninguno"/>
        <w:color w:val="008000"/>
        <w:u w:color="008000"/>
        <w:lang w:val="es-ES_tradnl"/>
      </w:rPr>
      <w:t xml:space="preserve">Página </w:t>
    </w:r>
    <w:r w:rsidR="00F062B2">
      <w:rPr>
        <w:rStyle w:val="Ninguno"/>
        <w:color w:val="008000"/>
        <w:u w:color="008000"/>
        <w:lang w:val="es-ES_tradnl"/>
      </w:rPr>
      <w:fldChar w:fldCharType="begin"/>
    </w:r>
    <w:r>
      <w:rPr>
        <w:rStyle w:val="Ninguno"/>
        <w:color w:val="008000"/>
        <w:u w:color="008000"/>
        <w:lang w:val="es-ES_tradnl"/>
      </w:rPr>
      <w:instrText xml:space="preserve"> PAGE </w:instrText>
    </w:r>
    <w:r w:rsidR="00F062B2">
      <w:rPr>
        <w:rStyle w:val="Ninguno"/>
        <w:color w:val="008000"/>
        <w:u w:color="008000"/>
        <w:lang w:val="es-ES_tradnl"/>
      </w:rPr>
      <w:fldChar w:fldCharType="separate"/>
    </w:r>
    <w:r w:rsidR="00F01871">
      <w:rPr>
        <w:rStyle w:val="Ninguno"/>
        <w:noProof/>
        <w:color w:val="008000"/>
        <w:u w:color="008000"/>
        <w:lang w:val="es-ES_tradnl"/>
      </w:rPr>
      <w:t>3</w:t>
    </w:r>
    <w:r w:rsidR="00F062B2">
      <w:rPr>
        <w:rStyle w:val="Ninguno"/>
        <w:color w:val="008000"/>
        <w:u w:color="008000"/>
        <w:lang w:val="es-ES_tradnl"/>
      </w:rPr>
      <w:fldChar w:fldCharType="end"/>
    </w:r>
  </w:p>
  <w:p w:rsidR="00F062B2" w:rsidRDefault="00F062B2">
    <w:pPr>
      <w:pStyle w:val="Encabezado"/>
      <w:rPr>
        <w:rStyle w:val="Ninguno"/>
        <w:color w:val="008000"/>
        <w:u w:color="008000"/>
        <w:lang w:val="es-ES_tradnl"/>
      </w:rPr>
    </w:pPr>
  </w:p>
  <w:p w:rsidR="00F062B2" w:rsidRDefault="00F062B2">
    <w:pPr>
      <w:pStyle w:val="Encabezado"/>
      <w:rPr>
        <w:rStyle w:val="Ninguno"/>
        <w:color w:val="008000"/>
        <w:u w:color="008000"/>
        <w:lang w:val="es-ES_tradnl"/>
      </w:rPr>
    </w:pPr>
  </w:p>
  <w:p w:rsidR="00F062B2" w:rsidRDefault="00F062B2">
    <w:pPr>
      <w:pStyle w:val="Encabezado"/>
      <w:rPr>
        <w:rStyle w:val="Ninguno"/>
        <w:color w:val="008000"/>
        <w:u w:color="008000"/>
        <w:lang w:val="es-ES_tradnl"/>
      </w:rPr>
    </w:pPr>
  </w:p>
  <w:p w:rsidR="00F062B2" w:rsidRDefault="00F062B2">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2B2" w:rsidRDefault="00355B7D">
    <w:pPr>
      <w:pStyle w:val="Encabezado"/>
    </w:pPr>
    <w:r>
      <w:rPr>
        <w:noProof/>
        <w:lang w:val="es-ES"/>
      </w:rPr>
      <w:drawing>
        <wp:anchor distT="152400" distB="152400" distL="152400" distR="152400" simplePos="0" relativeHeight="251657728" behindDoc="1" locked="0" layoutInCell="1" allowOverlap="1">
          <wp:simplePos x="0" y="0"/>
          <wp:positionH relativeFrom="page">
            <wp:posOffset>5600700</wp:posOffset>
          </wp:positionH>
          <wp:positionV relativeFrom="page">
            <wp:posOffset>456565</wp:posOffset>
          </wp:positionV>
          <wp:extent cx="1435100" cy="469900"/>
          <wp:effectExtent l="0" t="0" r="0" b="0"/>
          <wp:wrapNone/>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Grupo_ECI.jpg"/>
                  <pic:cNvPicPr>
                    <a:picLocks noChangeAspect="1"/>
                  </pic:cNvPicPr>
                </pic:nvPicPr>
                <pic:blipFill>
                  <a:blip r:embed="rId1">
                    <a:extLst/>
                  </a:blip>
                  <a:stretch>
                    <a:fillRect/>
                  </a:stretch>
                </pic:blipFill>
                <pic:spPr>
                  <a:xfrm>
                    <a:off x="0" y="0"/>
                    <a:ext cx="1435100" cy="469900"/>
                  </a:xfrm>
                  <a:prstGeom prst="rect">
                    <a:avLst/>
                  </a:prstGeom>
                  <a:ln w="12700" cap="flat">
                    <a:noFill/>
                    <a:miter lim="400000"/>
                  </a:ln>
                  <a:effectLst/>
                </pic:spPr>
              </pic:pic>
            </a:graphicData>
          </a:graphic>
        </wp:anchor>
      </w:drawing>
    </w:r>
    <w:r>
      <w:rPr>
        <w:noProof/>
        <w:lang w:val="es-ES"/>
      </w:rPr>
      <w:drawing>
        <wp:anchor distT="152400" distB="152400" distL="152400" distR="152400" simplePos="0" relativeHeight="251658752" behindDoc="1" locked="0" layoutInCell="1" allowOverlap="1">
          <wp:simplePos x="0" y="0"/>
          <wp:positionH relativeFrom="page">
            <wp:posOffset>843280</wp:posOffset>
          </wp:positionH>
          <wp:positionV relativeFrom="page">
            <wp:posOffset>456565</wp:posOffset>
          </wp:positionV>
          <wp:extent cx="1028065" cy="386080"/>
          <wp:effectExtent l="0" t="0" r="0" b="0"/>
          <wp:wrapNone/>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image.jpg"/>
                  <pic:cNvPicPr>
                    <a:picLocks noChangeAspect="1"/>
                  </pic:cNvPicPr>
                </pic:nvPicPr>
                <pic:blipFill>
                  <a:blip r:embed="rId2">
                    <a:extLst/>
                  </a:blip>
                  <a:stretch>
                    <a:fillRect/>
                  </a:stretch>
                </pic:blipFill>
                <pic:spPr>
                  <a:xfrm>
                    <a:off x="0" y="0"/>
                    <a:ext cx="1028065" cy="386080"/>
                  </a:xfrm>
                  <a:prstGeom prst="rect">
                    <a:avLst/>
                  </a:prstGeom>
                  <a:ln w="12700" cap="flat">
                    <a:noFill/>
                    <a:miter lim="400000"/>
                  </a:ln>
                  <a:effectLst/>
                </pic:spPr>
              </pic:pic>
            </a:graphicData>
          </a:graphic>
        </wp:anchor>
      </w:drawing>
    </w:r>
    <w:r>
      <w:rPr>
        <w:rStyle w:val="Ninguno"/>
        <w:lang w:val="es-ES_tradnl"/>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06A53"/>
    <w:multiLevelType w:val="hybridMultilevel"/>
    <w:tmpl w:val="829288CA"/>
    <w:styleLink w:val="Estiloimportado1"/>
    <w:lvl w:ilvl="0" w:tplc="1688D4C8">
      <w:start w:val="1"/>
      <w:numFmt w:val="bullet"/>
      <w:lvlText w:val="•"/>
      <w:lvlJc w:val="left"/>
      <w:pPr>
        <w:tabs>
          <w:tab w:val="num" w:pos="708"/>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56A8124">
      <w:start w:val="1"/>
      <w:numFmt w:val="bullet"/>
      <w:lvlText w:val="o"/>
      <w:lvlJc w:val="left"/>
      <w:pPr>
        <w:tabs>
          <w:tab w:val="num" w:pos="1416"/>
        </w:tabs>
        <w:ind w:left="1428" w:hanging="34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8E03D20">
      <w:start w:val="1"/>
      <w:numFmt w:val="bullet"/>
      <w:lvlText w:val="▪"/>
      <w:lvlJc w:val="left"/>
      <w:pPr>
        <w:tabs>
          <w:tab w:val="num" w:pos="2124"/>
        </w:tabs>
        <w:ind w:left="2136" w:hanging="3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F3E97F2">
      <w:start w:val="1"/>
      <w:numFmt w:val="bullet"/>
      <w:lvlText w:val="•"/>
      <w:lvlJc w:val="left"/>
      <w:pPr>
        <w:tabs>
          <w:tab w:val="num" w:pos="2832"/>
        </w:tabs>
        <w:ind w:left="2844" w:hanging="32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F96EC02">
      <w:start w:val="1"/>
      <w:numFmt w:val="bullet"/>
      <w:lvlText w:val="o"/>
      <w:lvlJc w:val="left"/>
      <w:pPr>
        <w:tabs>
          <w:tab w:val="num" w:pos="3540"/>
        </w:tabs>
        <w:ind w:left="3552" w:hanging="31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DBE571C">
      <w:start w:val="1"/>
      <w:numFmt w:val="bullet"/>
      <w:lvlText w:val="▪"/>
      <w:lvlJc w:val="left"/>
      <w:pPr>
        <w:tabs>
          <w:tab w:val="num" w:pos="4248"/>
        </w:tabs>
        <w:ind w:left="426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9E6112A">
      <w:start w:val="1"/>
      <w:numFmt w:val="bullet"/>
      <w:lvlText w:val="•"/>
      <w:lvlJc w:val="left"/>
      <w:pPr>
        <w:tabs>
          <w:tab w:val="num" w:pos="4956"/>
        </w:tabs>
        <w:ind w:left="4968" w:hanging="28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A6A1640">
      <w:start w:val="1"/>
      <w:numFmt w:val="bullet"/>
      <w:lvlText w:val="o"/>
      <w:lvlJc w:val="left"/>
      <w:pPr>
        <w:tabs>
          <w:tab w:val="num" w:pos="5664"/>
        </w:tabs>
        <w:ind w:left="5676" w:hanging="27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6A04364">
      <w:start w:val="1"/>
      <w:numFmt w:val="bullet"/>
      <w:lvlText w:val="▪"/>
      <w:lvlJc w:val="left"/>
      <w:pPr>
        <w:tabs>
          <w:tab w:val="num" w:pos="6372"/>
        </w:tabs>
        <w:ind w:left="6384" w:hanging="26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29723616"/>
    <w:multiLevelType w:val="hybridMultilevel"/>
    <w:tmpl w:val="5A5E395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4C563D2E"/>
    <w:multiLevelType w:val="hybridMultilevel"/>
    <w:tmpl w:val="763C45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59717CF9"/>
    <w:multiLevelType w:val="hybridMultilevel"/>
    <w:tmpl w:val="829288CA"/>
    <w:numStyleLink w:val="Estiloimportado1"/>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62B2"/>
    <w:rsid w:val="0007372D"/>
    <w:rsid w:val="001141A6"/>
    <w:rsid w:val="00343571"/>
    <w:rsid w:val="00355B7D"/>
    <w:rsid w:val="00527355"/>
    <w:rsid w:val="0056734C"/>
    <w:rsid w:val="007A6DC6"/>
    <w:rsid w:val="00832B79"/>
    <w:rsid w:val="00991C93"/>
    <w:rsid w:val="00A33A05"/>
    <w:rsid w:val="00C2069E"/>
    <w:rsid w:val="00C31BED"/>
    <w:rsid w:val="00C61DFB"/>
    <w:rsid w:val="00CB057E"/>
    <w:rsid w:val="00E14700"/>
    <w:rsid w:val="00EF4114"/>
    <w:rsid w:val="00F01871"/>
    <w:rsid w:val="00F062B2"/>
    <w:rsid w:val="00FF247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640B7"/>
  <w15:docId w15:val="{C2CF6751-EDFA-4B6E-9051-E17C27D80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s-ES" w:eastAsia="es-E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F062B2"/>
    <w:rPr>
      <w:rFonts w:ascii="Century Gothic" w:hAnsi="Century Gothic" w:cs="Arial Unicode MS"/>
      <w:color w:val="000000"/>
      <w:spacing w:val="-5"/>
      <w:sz w:val="18"/>
      <w:szCs w:val="18"/>
      <w:u w:color="000000"/>
      <w:lang w:val="en-US"/>
    </w:rPr>
  </w:style>
  <w:style w:type="paragraph" w:styleId="Ttulo1">
    <w:name w:val="heading 1"/>
    <w:next w:val="Normal"/>
    <w:link w:val="Ttulo1Car"/>
    <w:rsid w:val="00F062B2"/>
    <w:pPr>
      <w:spacing w:before="1200"/>
      <w:outlineLvl w:val="0"/>
    </w:pPr>
    <w:rPr>
      <w:rFonts w:ascii="Century Gothic" w:hAnsi="Century Gothic" w:cs="Arial Unicode MS"/>
      <w:caps/>
      <w:color w:val="2A5A78"/>
      <w:spacing w:val="-5"/>
      <w:sz w:val="84"/>
      <w:szCs w:val="84"/>
      <w:u w:color="2A5A78"/>
      <w:lang w:val="en-US"/>
    </w:rPr>
  </w:style>
  <w:style w:type="paragraph" w:styleId="Ttulo3">
    <w:name w:val="heading 3"/>
    <w:next w:val="Normal"/>
    <w:rsid w:val="00F062B2"/>
    <w:pPr>
      <w:spacing w:before="320" w:after="80"/>
      <w:outlineLvl w:val="2"/>
    </w:pPr>
    <w:rPr>
      <w:rFonts w:ascii="Century Gothic" w:hAnsi="Century Gothic" w:cs="Arial Unicode MS"/>
      <w:color w:val="2A5A78"/>
      <w:spacing w:val="-5"/>
      <w:sz w:val="28"/>
      <w:szCs w:val="28"/>
      <w:u w:color="2A5A78"/>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F062B2"/>
    <w:rPr>
      <w:u w:val="single"/>
    </w:rPr>
  </w:style>
  <w:style w:type="paragraph" w:styleId="Encabezado">
    <w:name w:val="header"/>
    <w:rsid w:val="00F062B2"/>
    <w:pPr>
      <w:tabs>
        <w:tab w:val="right" w:pos="9360"/>
      </w:tabs>
    </w:pPr>
    <w:rPr>
      <w:rFonts w:ascii="Century Gothic" w:hAnsi="Century Gothic" w:cs="Arial Unicode MS"/>
      <w:b/>
      <w:bCs/>
      <w:caps/>
      <w:color w:val="2A5A78"/>
      <w:spacing w:val="-5"/>
      <w:sz w:val="18"/>
      <w:szCs w:val="18"/>
      <w:u w:color="2A5A78"/>
      <w:lang w:val="en-US"/>
    </w:rPr>
  </w:style>
  <w:style w:type="character" w:customStyle="1" w:styleId="Ninguno">
    <w:name w:val="Ninguno"/>
    <w:rsid w:val="00F062B2"/>
  </w:style>
  <w:style w:type="paragraph" w:styleId="Piedepgina">
    <w:name w:val="footer"/>
    <w:rsid w:val="00F062B2"/>
    <w:pPr>
      <w:tabs>
        <w:tab w:val="center" w:pos="4252"/>
        <w:tab w:val="right" w:pos="8504"/>
      </w:tabs>
    </w:pPr>
    <w:rPr>
      <w:rFonts w:ascii="Century Gothic" w:eastAsia="Century Gothic" w:hAnsi="Century Gothic" w:cs="Century Gothic"/>
      <w:color w:val="000000"/>
      <w:spacing w:val="-5"/>
      <w:sz w:val="18"/>
      <w:szCs w:val="18"/>
      <w:u w:color="000000"/>
      <w:lang w:val="en-US"/>
    </w:rPr>
  </w:style>
  <w:style w:type="paragraph" w:customStyle="1" w:styleId="Cabeceraypie">
    <w:name w:val="Cabecera y pie"/>
    <w:rsid w:val="00F062B2"/>
    <w:pPr>
      <w:tabs>
        <w:tab w:val="right" w:pos="9020"/>
      </w:tabs>
    </w:pPr>
    <w:rPr>
      <w:rFonts w:ascii="Helvetica" w:eastAsia="Helvetica" w:hAnsi="Helvetica" w:cs="Helvetica"/>
      <w:color w:val="000000"/>
      <w:sz w:val="24"/>
      <w:szCs w:val="24"/>
    </w:rPr>
  </w:style>
  <w:style w:type="paragraph" w:styleId="NormalWeb">
    <w:name w:val="Normal (Web)"/>
    <w:uiPriority w:val="99"/>
    <w:rsid w:val="00F062B2"/>
    <w:pPr>
      <w:spacing w:before="100" w:after="100"/>
    </w:pPr>
    <w:rPr>
      <w:rFonts w:cs="Arial Unicode MS"/>
      <w:color w:val="000000"/>
      <w:sz w:val="24"/>
      <w:szCs w:val="24"/>
      <w:u w:color="000000"/>
      <w:lang w:val="es-ES_tradnl"/>
    </w:rPr>
  </w:style>
  <w:style w:type="numbering" w:customStyle="1" w:styleId="Estiloimportado1">
    <w:name w:val="Estilo importado 1"/>
    <w:rsid w:val="00F062B2"/>
    <w:pPr>
      <w:numPr>
        <w:numId w:val="1"/>
      </w:numPr>
    </w:pPr>
  </w:style>
  <w:style w:type="paragraph" w:customStyle="1" w:styleId="P7">
    <w:name w:val="P7"/>
    <w:rsid w:val="00F062B2"/>
    <w:pPr>
      <w:spacing w:after="120" w:line="360" w:lineRule="auto"/>
      <w:jc w:val="both"/>
    </w:pPr>
    <w:rPr>
      <w:rFonts w:ascii="Century Gothic" w:hAnsi="Century Gothic" w:cs="Arial Unicode MS"/>
      <w:color w:val="000000"/>
      <w:sz w:val="18"/>
      <w:szCs w:val="18"/>
      <w:u w:color="000000"/>
      <w:lang w:val="es-ES_tradnl"/>
    </w:rPr>
  </w:style>
  <w:style w:type="paragraph" w:styleId="Textodeglobo">
    <w:name w:val="Balloon Text"/>
    <w:basedOn w:val="Normal"/>
    <w:link w:val="TextodegloboCar"/>
    <w:uiPriority w:val="99"/>
    <w:semiHidden/>
    <w:unhideWhenUsed/>
    <w:rsid w:val="00C61DFB"/>
    <w:rPr>
      <w:rFonts w:ascii="Tahoma" w:hAnsi="Tahoma" w:cs="Tahoma"/>
      <w:sz w:val="16"/>
      <w:szCs w:val="16"/>
    </w:rPr>
  </w:style>
  <w:style w:type="character" w:customStyle="1" w:styleId="TextodegloboCar">
    <w:name w:val="Texto de globo Car"/>
    <w:basedOn w:val="Fuentedeprrafopredeter"/>
    <w:link w:val="Textodeglobo"/>
    <w:uiPriority w:val="99"/>
    <w:semiHidden/>
    <w:rsid w:val="00C61DFB"/>
    <w:rPr>
      <w:rFonts w:ascii="Tahoma" w:hAnsi="Tahoma" w:cs="Tahoma"/>
      <w:color w:val="000000"/>
      <w:spacing w:val="-5"/>
      <w:sz w:val="16"/>
      <w:szCs w:val="16"/>
      <w:u w:color="000000"/>
      <w:lang w:val="en-US"/>
    </w:rPr>
  </w:style>
  <w:style w:type="paragraph" w:styleId="Prrafodelista">
    <w:name w:val="List Paragraph"/>
    <w:basedOn w:val="Normal"/>
    <w:uiPriority w:val="34"/>
    <w:qFormat/>
    <w:rsid w:val="0056734C"/>
    <w:pPr>
      <w:ind w:left="720"/>
      <w:contextualSpacing/>
    </w:pPr>
  </w:style>
  <w:style w:type="character" w:customStyle="1" w:styleId="Ttulo1Car">
    <w:name w:val="Título 1 Car"/>
    <w:basedOn w:val="Fuentedeprrafopredeter"/>
    <w:link w:val="Ttulo1"/>
    <w:rsid w:val="00A33A05"/>
    <w:rPr>
      <w:rFonts w:ascii="Century Gothic" w:hAnsi="Century Gothic" w:cs="Arial Unicode MS"/>
      <w:caps/>
      <w:color w:val="2A5A78"/>
      <w:spacing w:val="-5"/>
      <w:sz w:val="84"/>
      <w:szCs w:val="84"/>
      <w:u w:color="2A5A7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png" Type="http://schemas.openxmlformats.org/officeDocument/2006/relationships/image"/><Relationship Id="rId8" Target="header1.xml" Type="http://schemas.openxmlformats.org/officeDocument/2006/relationships/header"/><Relationship Id="rId9" Target="header2.xml" Type="http://schemas.openxmlformats.org/officeDocument/2006/relationships/header"/></Relationships>
</file>

<file path=word/_rels/footer1.xml.rels><?xml version="1.0" encoding="UTF-8" standalone="no"?><Relationships xmlns="http://schemas.openxmlformats.org/package/2006/relationships"><Relationship Id="rId1" Target="media/image3.png" Type="http://schemas.openxmlformats.org/officeDocument/2006/relationships/image"/></Relationships>
</file>

<file path=word/_rels/footer2.xml.rels><?xml version="1.0" encoding="UTF-8" standalone="no"?><Relationships xmlns="http://schemas.openxmlformats.org/package/2006/relationships"><Relationship Id="rId1" Target="media/image3.png" Type="http://schemas.openxmlformats.org/officeDocument/2006/relationships/image"/></Relationships>
</file>

<file path=word/_rels/footer3.xml.rels><?xml version="1.0" encoding="UTF-8" standalone="no"?><Relationships xmlns="http://schemas.openxmlformats.org/package/2006/relationships"><Relationship Id="rId1" Target="media/image3.png" Type="http://schemas.openxmlformats.org/officeDocument/2006/relationships/image"/></Relationships>
</file>

<file path=word/_rels/header2.xml.rels><?xml version="1.0" encoding="UTF-8" standalone="no"?><Relationships xmlns="http://schemas.openxmlformats.org/package/2006/relationships"><Relationship Id="rId1" Target="media/image2.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 Id="rId2" Target="media/image4.jpeg" Type="http://schemas.openxmlformats.org/officeDocument/2006/relationships/image"/></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
  <TotalTime>1</TotalTime>
  <Pages>4</Pages>
  <Words>536</Words>
  <Characters>2952</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2020-06-23T15:20:00Z</dcterms:created>
  <dcterms:modified xsi:type="dcterms:W3CDTF">2020-06-23T15:20:00Z</dcterms:modified>
  <cp:revision>2</cp:revision>
</cp:coreProperties>
</file>