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30B1" w:rsidRPr="00F2434C" w:rsidRDefault="006130B1" w:rsidP="006130B1">
      <w:pPr>
        <w:spacing w:before="99" w:after="0" w:line="240" w:lineRule="auto"/>
        <w:ind w:left="6940" w:right="-20"/>
        <w:rPr>
          <w:rFonts w:ascii="Times New Roman" w:eastAsia="Times New Roman" w:hAnsi="Times New Roman" w:cs="Times New Roman"/>
          <w:sz w:val="20"/>
          <w:szCs w:val="20"/>
          <w:lang w:val="es-ES"/>
        </w:rPr>
      </w:pPr>
      <w:r w:rsidRPr="00F2434C">
        <w:rPr>
          <w:noProof/>
          <w:lang w:val="es-ES" w:eastAsia="es-ES"/>
        </w:rPr>
        <w:drawing>
          <wp:inline distT="0" distB="0" distL="0" distR="0" wp14:anchorId="3591D39B" wp14:editId="366FA57F">
            <wp:extent cx="1428750" cy="466725"/>
            <wp:effectExtent l="0" t="0" r="0" b="9525"/>
            <wp:docPr id="1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30B1" w:rsidRDefault="006130B1" w:rsidP="006130B1">
      <w:pPr>
        <w:spacing w:before="8" w:after="0" w:line="240" w:lineRule="auto"/>
        <w:ind w:left="100" w:right="-20"/>
        <w:rPr>
          <w:rFonts w:ascii="Century Gothic" w:eastAsia="Century Gothic" w:hAnsi="Century Gothic" w:cs="Century Gothic"/>
          <w:b/>
          <w:bCs/>
          <w:color w:val="008000"/>
          <w:spacing w:val="-5"/>
          <w:sz w:val="28"/>
          <w:szCs w:val="28"/>
          <w:lang w:val="es-ES"/>
        </w:rPr>
      </w:pPr>
    </w:p>
    <w:p w:rsidR="006130B1" w:rsidRPr="00F2434C" w:rsidRDefault="006130B1" w:rsidP="006130B1">
      <w:pPr>
        <w:spacing w:before="8" w:after="0" w:line="240" w:lineRule="auto"/>
        <w:ind w:right="-20"/>
        <w:rPr>
          <w:rFonts w:ascii="Century Gothic" w:eastAsia="Century Gothic" w:hAnsi="Century Gothic" w:cs="Century Gothic"/>
          <w:sz w:val="28"/>
          <w:szCs w:val="28"/>
          <w:lang w:val="es-ES"/>
        </w:rPr>
      </w:pPr>
      <w:r w:rsidRPr="00F2434C">
        <w:rPr>
          <w:rFonts w:ascii="Century Gothic" w:eastAsia="Century Gothic" w:hAnsi="Century Gothic" w:cs="Century Gothic"/>
          <w:b/>
          <w:bCs/>
          <w:color w:val="008000"/>
          <w:spacing w:val="-5"/>
          <w:sz w:val="28"/>
          <w:szCs w:val="28"/>
          <w:lang w:val="es-ES"/>
        </w:rPr>
        <w:t>C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6"/>
          <w:sz w:val="28"/>
          <w:szCs w:val="28"/>
          <w:lang w:val="es-ES"/>
        </w:rPr>
        <w:t>OM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U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6"/>
          <w:sz w:val="28"/>
          <w:szCs w:val="28"/>
          <w:lang w:val="es-ES"/>
        </w:rPr>
        <w:t>N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I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8"/>
          <w:sz w:val="28"/>
          <w:szCs w:val="28"/>
          <w:lang w:val="es-ES"/>
        </w:rPr>
        <w:t>C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AD</w:t>
      </w:r>
      <w:r w:rsidRPr="00F2434C">
        <w:rPr>
          <w:rFonts w:ascii="Century Gothic" w:eastAsia="Century Gothic" w:hAnsi="Century Gothic" w:cs="Century Gothic"/>
          <w:b/>
          <w:bCs/>
          <w:color w:val="008000"/>
          <w:sz w:val="28"/>
          <w:szCs w:val="28"/>
          <w:lang w:val="es-ES"/>
        </w:rPr>
        <w:t>O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12"/>
          <w:sz w:val="28"/>
          <w:szCs w:val="28"/>
          <w:lang w:val="es-ES"/>
        </w:rPr>
        <w:t xml:space="preserve"> 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D</w:t>
      </w:r>
      <w:r w:rsidRPr="00F2434C">
        <w:rPr>
          <w:rFonts w:ascii="Century Gothic" w:eastAsia="Century Gothic" w:hAnsi="Century Gothic" w:cs="Century Gothic"/>
          <w:b/>
          <w:bCs/>
          <w:color w:val="008000"/>
          <w:sz w:val="28"/>
          <w:szCs w:val="28"/>
          <w:lang w:val="es-ES"/>
        </w:rPr>
        <w:t>E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13"/>
          <w:sz w:val="28"/>
          <w:szCs w:val="28"/>
          <w:lang w:val="es-ES"/>
        </w:rPr>
        <w:t xml:space="preserve"> 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P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7"/>
          <w:sz w:val="28"/>
          <w:szCs w:val="28"/>
          <w:lang w:val="es-ES"/>
        </w:rPr>
        <w:t>R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E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6"/>
          <w:sz w:val="28"/>
          <w:szCs w:val="28"/>
          <w:lang w:val="es-ES"/>
        </w:rPr>
        <w:t>N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7"/>
          <w:sz w:val="28"/>
          <w:szCs w:val="28"/>
          <w:lang w:val="es-ES"/>
        </w:rPr>
        <w:t>S</w:t>
      </w:r>
      <w:r w:rsidRPr="00F2434C">
        <w:rPr>
          <w:rFonts w:ascii="Century Gothic" w:eastAsia="Century Gothic" w:hAnsi="Century Gothic" w:cs="Century Gothic"/>
          <w:b/>
          <w:bCs/>
          <w:color w:val="008000"/>
          <w:sz w:val="28"/>
          <w:szCs w:val="28"/>
          <w:lang w:val="es-ES"/>
        </w:rPr>
        <w:t>A</w:t>
      </w:r>
    </w:p>
    <w:p w:rsidR="006130B1" w:rsidRPr="00F2434C" w:rsidRDefault="006130B1" w:rsidP="006130B1">
      <w:pPr>
        <w:spacing w:after="0" w:line="200" w:lineRule="exact"/>
        <w:rPr>
          <w:sz w:val="20"/>
          <w:szCs w:val="20"/>
          <w:lang w:val="es-ES"/>
        </w:rPr>
      </w:pPr>
    </w:p>
    <w:p w:rsidR="006130B1" w:rsidRPr="006A7CB3" w:rsidRDefault="006130B1" w:rsidP="006130B1">
      <w:pPr>
        <w:pStyle w:val="Ttulo3"/>
        <w:spacing w:after="480"/>
        <w:rPr>
          <w:color w:val="008000"/>
          <w:sz w:val="39"/>
          <w:szCs w:val="39"/>
          <w:lang w:val="es-ES"/>
        </w:rPr>
      </w:pPr>
      <w:r w:rsidRPr="006A7CB3">
        <w:rPr>
          <w:color w:val="008000"/>
          <w:sz w:val="39"/>
          <w:szCs w:val="39"/>
          <w:lang w:val="es-ES"/>
        </w:rPr>
        <w:t xml:space="preserve">El Corte Inglés contribuye a dar una nueva vida a los juguetes con la campaña “Comparte y Recicla” </w:t>
      </w:r>
    </w:p>
    <w:p w:rsidR="006130B1" w:rsidRPr="00862039" w:rsidRDefault="006130B1" w:rsidP="006130B1">
      <w:pPr>
        <w:pStyle w:val="Subttulo1"/>
        <w:numPr>
          <w:ilvl w:val="0"/>
          <w:numId w:val="1"/>
        </w:numPr>
        <w:spacing w:after="120" w:line="276" w:lineRule="auto"/>
        <w:ind w:left="714" w:hanging="357"/>
        <w:jc w:val="both"/>
        <w:rPr>
          <w:rFonts w:cs="Times New Roman"/>
          <w:color w:val="008000"/>
          <w:lang w:eastAsia="en-US"/>
        </w:rPr>
      </w:pPr>
      <w:r>
        <w:rPr>
          <w:rFonts w:cs="Times New Roman"/>
          <w:color w:val="008000"/>
          <w:lang w:eastAsia="en-US"/>
        </w:rPr>
        <w:t xml:space="preserve">La compañía, que es Patrono de la </w:t>
      </w:r>
      <w:r w:rsidR="00A15853">
        <w:rPr>
          <w:rFonts w:cs="Times New Roman"/>
          <w:color w:val="008000"/>
          <w:lang w:eastAsia="en-US"/>
        </w:rPr>
        <w:t>Fundación, ha</w:t>
      </w:r>
      <w:r>
        <w:rPr>
          <w:rFonts w:cs="Times New Roman"/>
          <w:color w:val="008000"/>
          <w:lang w:eastAsia="en-US"/>
        </w:rPr>
        <w:t xml:space="preserve"> renovado el convenio de colaboración que ya tenía desde 2015 con </w:t>
      </w:r>
      <w:r w:rsidR="00A15853">
        <w:rPr>
          <w:rFonts w:cs="Times New Roman"/>
          <w:color w:val="008000"/>
          <w:lang w:eastAsia="en-US"/>
        </w:rPr>
        <w:t>la Fundación</w:t>
      </w:r>
      <w:r>
        <w:rPr>
          <w:rFonts w:cs="Times New Roman"/>
          <w:color w:val="008000"/>
          <w:lang w:eastAsia="en-US"/>
        </w:rPr>
        <w:t xml:space="preserve"> Crecer Jugando para recoger juguetes en sus centros, además de realizar una aportación económica a la campaña</w:t>
      </w:r>
    </w:p>
    <w:p w:rsidR="006130B1" w:rsidRDefault="006130B1" w:rsidP="006130B1">
      <w:pPr>
        <w:pStyle w:val="Subttulo1"/>
        <w:numPr>
          <w:ilvl w:val="0"/>
          <w:numId w:val="1"/>
        </w:numPr>
        <w:spacing w:after="120" w:line="276" w:lineRule="auto"/>
        <w:jc w:val="both"/>
        <w:rPr>
          <w:rFonts w:cs="Times New Roman"/>
          <w:color w:val="008000"/>
          <w:lang w:eastAsia="en-US"/>
        </w:rPr>
      </w:pPr>
      <w:r>
        <w:rPr>
          <w:rFonts w:cs="Times New Roman"/>
          <w:color w:val="008000"/>
          <w:lang w:eastAsia="en-US"/>
        </w:rPr>
        <w:t>Clientes y empleados podrán entregar los juguetes que ya no utilicen d</w:t>
      </w:r>
      <w:r w:rsidRPr="00CB692A">
        <w:rPr>
          <w:rFonts w:cs="Times New Roman"/>
          <w:color w:val="008000"/>
          <w:lang w:eastAsia="en-US"/>
        </w:rPr>
        <w:t xml:space="preserve">el </w:t>
      </w:r>
      <w:r>
        <w:rPr>
          <w:rFonts w:cs="Times New Roman"/>
          <w:color w:val="008000"/>
          <w:lang w:eastAsia="en-US"/>
        </w:rPr>
        <w:t>14 de junio</w:t>
      </w:r>
      <w:r w:rsidRPr="00CB692A">
        <w:rPr>
          <w:rFonts w:cs="Times New Roman"/>
          <w:color w:val="008000"/>
          <w:lang w:eastAsia="en-US"/>
        </w:rPr>
        <w:t xml:space="preserve"> al </w:t>
      </w:r>
      <w:r>
        <w:rPr>
          <w:rFonts w:cs="Times New Roman"/>
          <w:color w:val="008000"/>
          <w:lang w:eastAsia="en-US"/>
        </w:rPr>
        <w:t>4 de julio en todos los centros de El C</w:t>
      </w:r>
      <w:r w:rsidRPr="00CB692A">
        <w:rPr>
          <w:rFonts w:cs="Times New Roman"/>
          <w:color w:val="008000"/>
          <w:lang w:eastAsia="en-US"/>
        </w:rPr>
        <w:t>orte Inglés</w:t>
      </w:r>
      <w:r>
        <w:rPr>
          <w:rFonts w:cs="Times New Roman"/>
          <w:color w:val="008000"/>
          <w:lang w:eastAsia="en-US"/>
        </w:rPr>
        <w:t xml:space="preserve"> e</w:t>
      </w:r>
      <w:r w:rsidRPr="00CB692A">
        <w:rPr>
          <w:rFonts w:cs="Times New Roman"/>
          <w:color w:val="008000"/>
          <w:lang w:eastAsia="en-US"/>
        </w:rPr>
        <w:t xml:space="preserve"> Hipercor</w:t>
      </w:r>
      <w:r>
        <w:rPr>
          <w:rFonts w:cs="Times New Roman"/>
          <w:color w:val="008000"/>
          <w:lang w:eastAsia="en-US"/>
        </w:rPr>
        <w:t>.</w:t>
      </w:r>
    </w:p>
    <w:p w:rsidR="006130B1" w:rsidRDefault="006130B1" w:rsidP="006130B1">
      <w:pPr>
        <w:pStyle w:val="Subttulo1"/>
        <w:numPr>
          <w:ilvl w:val="0"/>
          <w:numId w:val="1"/>
        </w:numPr>
        <w:spacing w:after="120" w:line="276" w:lineRule="auto"/>
        <w:jc w:val="both"/>
        <w:rPr>
          <w:rFonts w:cs="Times New Roman"/>
          <w:color w:val="008000"/>
          <w:lang w:eastAsia="en-US"/>
        </w:rPr>
      </w:pPr>
      <w:r>
        <w:rPr>
          <w:rFonts w:cs="Times New Roman"/>
          <w:color w:val="008000"/>
          <w:lang w:eastAsia="en-US"/>
        </w:rPr>
        <w:t>En la edición anterior, la compañía recogió más de 145.000 kg de juguetes, de los que el 22% (más de 3.000 juguetes) se destinaron al reciclado, mientras que el 78% restante se entregó a niños en situación de riesgo social.</w:t>
      </w:r>
    </w:p>
    <w:p w:rsidR="00A15853" w:rsidRDefault="00A15853" w:rsidP="00A15853">
      <w:pPr>
        <w:pStyle w:val="Subttulo1"/>
        <w:spacing w:after="120" w:line="276" w:lineRule="auto"/>
        <w:ind w:left="720"/>
        <w:jc w:val="both"/>
        <w:rPr>
          <w:rFonts w:cs="Times New Roman"/>
          <w:color w:val="008000"/>
          <w:lang w:eastAsia="en-US"/>
        </w:rPr>
      </w:pPr>
    </w:p>
    <w:p w:rsidR="006130B1" w:rsidRDefault="006130B1" w:rsidP="006130B1">
      <w:pPr>
        <w:pStyle w:val="Texto"/>
        <w:spacing w:after="120" w:line="360" w:lineRule="auto"/>
        <w:jc w:val="both"/>
        <w:rPr>
          <w:sz w:val="22"/>
        </w:rPr>
      </w:pPr>
      <w:r w:rsidRPr="00D86729">
        <w:rPr>
          <w:b/>
          <w:sz w:val="22"/>
          <w:szCs w:val="22"/>
        </w:rPr>
        <w:t xml:space="preserve">Madrid, </w:t>
      </w:r>
      <w:r>
        <w:rPr>
          <w:b/>
          <w:sz w:val="22"/>
          <w:szCs w:val="22"/>
        </w:rPr>
        <w:t>1</w:t>
      </w:r>
      <w:r w:rsidR="00E320DF">
        <w:rPr>
          <w:b/>
          <w:sz w:val="22"/>
          <w:szCs w:val="22"/>
        </w:rPr>
        <w:t xml:space="preserve">5 </w:t>
      </w:r>
      <w:r>
        <w:rPr>
          <w:b/>
          <w:sz w:val="22"/>
          <w:szCs w:val="22"/>
        </w:rPr>
        <w:t>de junio de 2021</w:t>
      </w:r>
      <w:r w:rsidRPr="00D86729">
        <w:rPr>
          <w:b/>
          <w:sz w:val="22"/>
          <w:szCs w:val="22"/>
        </w:rPr>
        <w:t>:</w:t>
      </w:r>
      <w:r w:rsidRPr="0050695D">
        <w:rPr>
          <w:b/>
          <w:sz w:val="22"/>
        </w:rPr>
        <w:t xml:space="preserve"> </w:t>
      </w:r>
      <w:r>
        <w:rPr>
          <w:sz w:val="22"/>
        </w:rPr>
        <w:t xml:space="preserve">El Corte Inglés quiere contribuir a dar una nueva vida a los juguetes que se les han quedado pequeños a los niños a través de la campaña “Comparte y Recicla” de la Fundación Crecer </w:t>
      </w:r>
      <w:r w:rsidR="00A15853">
        <w:rPr>
          <w:sz w:val="22"/>
        </w:rPr>
        <w:t>Jugando, destinándolos</w:t>
      </w:r>
      <w:r>
        <w:rPr>
          <w:sz w:val="22"/>
        </w:rPr>
        <w:t xml:space="preserve"> a niños en situación de riesgo social. Para ello, la compañía ha renovado un convenio de colaboración con esta Fundación -de la que es Patrono y con la que colabora desde 2015- que se traducirá en diversas acciones concretas:</w:t>
      </w:r>
    </w:p>
    <w:p w:rsidR="006130B1" w:rsidRPr="0016262E" w:rsidRDefault="006130B1" w:rsidP="006130B1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Century Gothic" w:eastAsia="Times New Roman" w:hAnsi="Century Gothic" w:cs="Century Gothic"/>
          <w:szCs w:val="18"/>
          <w:lang w:val="es-ES" w:eastAsia="es-ES" w:bidi="es-ES"/>
        </w:rPr>
      </w:pPr>
      <w:r w:rsidRPr="0016262E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Del </w:t>
      </w:r>
      <w:r>
        <w:rPr>
          <w:rFonts w:ascii="Century Gothic" w:eastAsia="Times New Roman" w:hAnsi="Century Gothic" w:cs="Century Gothic"/>
          <w:szCs w:val="18"/>
          <w:lang w:val="es-ES" w:eastAsia="es-ES" w:bidi="es-ES"/>
        </w:rPr>
        <w:t>14 de junio al 4 de julio</w:t>
      </w:r>
      <w:r w:rsidRPr="0016262E">
        <w:rPr>
          <w:rFonts w:ascii="Century Gothic" w:eastAsia="Times New Roman" w:hAnsi="Century Gothic" w:cs="Century Gothic"/>
          <w:szCs w:val="18"/>
          <w:lang w:val="es-ES" w:eastAsia="es-ES" w:bidi="es-ES"/>
        </w:rPr>
        <w:t>, El Corte Inglés e Hipercor recogerán los juguetes que depositen los clientes</w:t>
      </w:r>
      <w:r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 y empleados que así lo deseen</w:t>
      </w:r>
      <w:r w:rsidRPr="0016262E">
        <w:rPr>
          <w:rFonts w:ascii="Century Gothic" w:eastAsia="Times New Roman" w:hAnsi="Century Gothic" w:cs="Century Gothic"/>
          <w:szCs w:val="18"/>
          <w:lang w:val="es-ES" w:eastAsia="es-ES" w:bidi="es-ES"/>
        </w:rPr>
        <w:t>, y los almacenarán en un lugar que previamente se habrá designado para ello.</w:t>
      </w:r>
      <w:r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 Los puntos de recogida, siempre señalizados, serán contenedores de Ecotic en la planta de juguetes en el caso de El Corte Inglés, o en las entradas de los centros Hipercor y Supercor. </w:t>
      </w:r>
      <w:r w:rsidRPr="007D7A28">
        <w:rPr>
          <w:rFonts w:ascii="Segoe UI" w:hAnsi="Segoe UI" w:cs="Segoe UI"/>
          <w:color w:val="201F1E"/>
          <w:sz w:val="23"/>
          <w:szCs w:val="23"/>
          <w:shd w:val="clear" w:color="auto" w:fill="FFFFFF"/>
          <w:lang w:val="es-ES"/>
        </w:rPr>
        <w:t> </w:t>
      </w:r>
    </w:p>
    <w:p w:rsidR="006130B1" w:rsidRPr="0016262E" w:rsidRDefault="006130B1" w:rsidP="006130B1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Century Gothic" w:eastAsia="Times New Roman" w:hAnsi="Century Gothic" w:cs="Century Gothic"/>
          <w:szCs w:val="18"/>
          <w:lang w:val="es-ES" w:eastAsia="es-ES" w:bidi="es-ES"/>
        </w:rPr>
      </w:pPr>
      <w:r w:rsidRPr="0016262E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Durante la </w:t>
      </w:r>
      <w:r>
        <w:rPr>
          <w:rFonts w:ascii="Century Gothic" w:eastAsia="Times New Roman" w:hAnsi="Century Gothic" w:cs="Century Gothic"/>
          <w:szCs w:val="18"/>
          <w:lang w:val="es-ES" w:eastAsia="es-ES" w:bidi="es-ES"/>
        </w:rPr>
        <w:t>c</w:t>
      </w:r>
      <w:r w:rsidRPr="0016262E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ampaña, </w:t>
      </w:r>
      <w:r>
        <w:rPr>
          <w:rFonts w:ascii="Century Gothic" w:eastAsia="Times New Roman" w:hAnsi="Century Gothic" w:cs="Century Gothic"/>
          <w:szCs w:val="18"/>
          <w:lang w:val="es-ES" w:eastAsia="es-ES" w:bidi="es-ES"/>
        </w:rPr>
        <w:t>l</w:t>
      </w:r>
      <w:r w:rsidRPr="0016262E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a Fundación Crecer Jugando gestionará la recogida de los juguetes </w:t>
      </w:r>
      <w:r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en los almacenes centrales de El Corte Inglés </w:t>
      </w:r>
      <w:r w:rsidRPr="0016262E">
        <w:rPr>
          <w:rFonts w:ascii="Century Gothic" w:eastAsia="Times New Roman" w:hAnsi="Century Gothic" w:cs="Century Gothic"/>
          <w:szCs w:val="18"/>
          <w:lang w:val="es-ES" w:eastAsia="es-ES" w:bidi="es-ES"/>
        </w:rPr>
        <w:t>a través de la Fundación Seur</w:t>
      </w:r>
      <w:r>
        <w:rPr>
          <w:rFonts w:ascii="Century Gothic" w:eastAsia="Times New Roman" w:hAnsi="Century Gothic" w:cs="Century Gothic"/>
          <w:szCs w:val="18"/>
          <w:lang w:val="es-ES" w:eastAsia="es-ES" w:bidi="es-ES"/>
        </w:rPr>
        <w:t>.</w:t>
      </w:r>
      <w:r w:rsidRPr="0016262E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 Aquéllos que estén en buen estado</w:t>
      </w:r>
      <w:r>
        <w:rPr>
          <w:rFonts w:ascii="Century Gothic" w:eastAsia="Times New Roman" w:hAnsi="Century Gothic" w:cs="Century Gothic"/>
          <w:szCs w:val="18"/>
          <w:lang w:val="es-ES" w:eastAsia="es-ES" w:bidi="es-ES"/>
        </w:rPr>
        <w:t>,</w:t>
      </w:r>
      <w:r w:rsidRPr="0016262E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 serán donados a organizaciones benéficas españolas, procediendo a reciclar los que no están aptos para su uso.</w:t>
      </w:r>
    </w:p>
    <w:p w:rsidR="006130B1" w:rsidRPr="0016262E" w:rsidRDefault="006130B1" w:rsidP="006130B1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Century Gothic" w:eastAsia="Times New Roman" w:hAnsi="Century Gothic" w:cs="Century Gothic"/>
          <w:szCs w:val="18"/>
          <w:lang w:val="es-ES" w:eastAsia="es-ES" w:bidi="es-ES"/>
        </w:rPr>
      </w:pPr>
      <w:r w:rsidRPr="0016262E">
        <w:rPr>
          <w:rFonts w:ascii="Century Gothic" w:eastAsia="Times New Roman" w:hAnsi="Century Gothic" w:cs="Century Gothic"/>
          <w:szCs w:val="18"/>
          <w:lang w:val="es-ES" w:eastAsia="es-ES" w:bidi="es-ES"/>
        </w:rPr>
        <w:t>Además, l</w:t>
      </w:r>
      <w:r>
        <w:rPr>
          <w:rFonts w:ascii="Century Gothic" w:eastAsia="Times New Roman" w:hAnsi="Century Gothic" w:cs="Century Gothic"/>
          <w:szCs w:val="18"/>
          <w:lang w:val="es-ES" w:eastAsia="es-ES" w:bidi="es-ES"/>
        </w:rPr>
        <w:t>a e</w:t>
      </w:r>
      <w:r w:rsidRPr="0016262E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mpresa, </w:t>
      </w:r>
      <w:r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en su calidad de Patrono, </w:t>
      </w:r>
      <w:r w:rsidRPr="0016262E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contribuirá al sostenimiento </w:t>
      </w:r>
      <w:r w:rsidRPr="0016262E">
        <w:rPr>
          <w:rFonts w:ascii="Century Gothic" w:eastAsia="Times New Roman" w:hAnsi="Century Gothic" w:cs="Century Gothic"/>
          <w:szCs w:val="18"/>
          <w:lang w:val="es-ES" w:eastAsia="es-ES" w:bidi="es-ES"/>
        </w:rPr>
        <w:lastRenderedPageBreak/>
        <w:t xml:space="preserve">económico de la </w:t>
      </w:r>
      <w:r>
        <w:rPr>
          <w:rFonts w:ascii="Century Gothic" w:eastAsia="Times New Roman" w:hAnsi="Century Gothic" w:cs="Century Gothic"/>
          <w:szCs w:val="18"/>
          <w:lang w:val="es-ES" w:eastAsia="es-ES" w:bidi="es-ES"/>
        </w:rPr>
        <w:t>c</w:t>
      </w:r>
      <w:r w:rsidRPr="0016262E">
        <w:rPr>
          <w:rFonts w:ascii="Century Gothic" w:eastAsia="Times New Roman" w:hAnsi="Century Gothic" w:cs="Century Gothic"/>
          <w:szCs w:val="18"/>
          <w:lang w:val="es-ES" w:eastAsia="es-ES" w:bidi="es-ES"/>
        </w:rPr>
        <w:t>ampaña</w:t>
      </w:r>
      <w:r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 con una aportación económica que podrá variar en función de los kilos de juguetes recogidos. Asimismo, también realizará una donación de juguetes nuevos.</w:t>
      </w:r>
    </w:p>
    <w:p w:rsidR="006130B1" w:rsidRPr="00B957EC" w:rsidRDefault="006130B1" w:rsidP="006130B1">
      <w:pPr>
        <w:spacing w:line="360" w:lineRule="auto"/>
        <w:jc w:val="both"/>
        <w:rPr>
          <w:rFonts w:ascii="Century Gothic" w:eastAsia="Times New Roman" w:hAnsi="Century Gothic" w:cs="Century Gothic"/>
          <w:szCs w:val="18"/>
          <w:lang w:val="es-ES" w:eastAsia="es-ES" w:bidi="es-ES"/>
        </w:rPr>
      </w:pPr>
      <w:r w:rsidRPr="00B957EC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Cabe destacar </w:t>
      </w:r>
      <w:r w:rsidR="00A15853" w:rsidRPr="00B957EC">
        <w:rPr>
          <w:rFonts w:ascii="Century Gothic" w:eastAsia="Times New Roman" w:hAnsi="Century Gothic" w:cs="Century Gothic"/>
          <w:szCs w:val="18"/>
          <w:lang w:val="es-ES" w:eastAsia="es-ES" w:bidi="es-ES"/>
        </w:rPr>
        <w:t>que,</w:t>
      </w:r>
      <w:r w:rsidRPr="00B957EC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 en la edición anterior de esta campaña, El Corte Inglés recogió más de 145.000 kg de juguetes. Los que estaban </w:t>
      </w:r>
      <w:r>
        <w:rPr>
          <w:rFonts w:ascii="Century Gothic" w:eastAsia="Times New Roman" w:hAnsi="Century Gothic" w:cs="Century Gothic"/>
          <w:szCs w:val="18"/>
          <w:lang w:val="es-ES" w:eastAsia="es-ES" w:bidi="es-ES"/>
        </w:rPr>
        <w:t>en condiciones de seguir jugando</w:t>
      </w:r>
      <w:r w:rsidRPr="00B957EC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, el 78%, fueron donados a organizaciones benéficas españolas, procediendo a reciclar el 22% </w:t>
      </w:r>
      <w:r>
        <w:rPr>
          <w:rFonts w:ascii="Century Gothic" w:eastAsia="Times New Roman" w:hAnsi="Century Gothic" w:cs="Century Gothic"/>
          <w:szCs w:val="18"/>
          <w:lang w:val="es-ES" w:eastAsia="es-ES" w:bidi="es-ES"/>
        </w:rPr>
        <w:t>restante</w:t>
      </w:r>
      <w:r w:rsidR="00A15853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, </w:t>
      </w:r>
      <w:bookmarkStart w:id="0" w:name="_GoBack"/>
      <w:bookmarkEnd w:id="0"/>
      <w:r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unos 3.000 juguetes. </w:t>
      </w:r>
      <w:r w:rsidRPr="00B957EC">
        <w:rPr>
          <w:rFonts w:ascii="Century Gothic" w:eastAsia="Times New Roman" w:hAnsi="Century Gothic" w:cs="Century Gothic"/>
          <w:szCs w:val="18"/>
          <w:lang w:val="es-ES" w:eastAsia="es-ES" w:bidi="es-ES"/>
        </w:rPr>
        <w:t>Además, la empresa contribuyó al sostenimiento económico de la campaña con una contribución de 26.400€.</w:t>
      </w:r>
    </w:p>
    <w:p w:rsidR="006130B1" w:rsidRDefault="006130B1" w:rsidP="006130B1">
      <w:pPr>
        <w:spacing w:line="360" w:lineRule="auto"/>
        <w:jc w:val="both"/>
        <w:rPr>
          <w:rFonts w:ascii="Century Gothic" w:eastAsia="Times New Roman" w:hAnsi="Century Gothic" w:cs="Century Gothic"/>
          <w:szCs w:val="18"/>
          <w:lang w:val="es-ES" w:eastAsia="es-ES" w:bidi="es-ES"/>
        </w:rPr>
      </w:pPr>
      <w:r w:rsidRPr="000C4733">
        <w:rPr>
          <w:rFonts w:ascii="Century Gothic" w:eastAsia="Times New Roman" w:hAnsi="Century Gothic" w:cs="Century Gothic"/>
          <w:bCs/>
          <w:szCs w:val="18"/>
          <w:lang w:val="es-ES" w:eastAsia="es-ES" w:bidi="es-ES"/>
        </w:rPr>
        <w:t>Comparte y Recicla se basa en la defensa del derecho al juego que establece la Declaración de l</w:t>
      </w:r>
      <w:r>
        <w:rPr>
          <w:rFonts w:ascii="Century Gothic" w:eastAsia="Times New Roman" w:hAnsi="Century Gothic" w:cs="Century Gothic"/>
          <w:bCs/>
          <w:szCs w:val="18"/>
          <w:lang w:val="es-ES" w:eastAsia="es-ES" w:bidi="es-ES"/>
        </w:rPr>
        <w:t>os Derechos del Niño y pretende c</w:t>
      </w:r>
      <w:r w:rsidRPr="000C4733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oncienciar a los </w:t>
      </w:r>
      <w:r>
        <w:rPr>
          <w:rFonts w:ascii="Century Gothic" w:eastAsia="Times New Roman" w:hAnsi="Century Gothic" w:cs="Century Gothic"/>
          <w:szCs w:val="18"/>
          <w:lang w:val="es-ES" w:eastAsia="es-ES" w:bidi="es-ES"/>
        </w:rPr>
        <w:t>más pequeños</w:t>
      </w:r>
      <w:r w:rsidRPr="000C4733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 sobre la importancia de compartir, a través de la donación a otros niños, sus propios juguetes.</w:t>
      </w:r>
      <w:r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 </w:t>
      </w:r>
    </w:p>
    <w:p w:rsidR="006130B1" w:rsidRDefault="006130B1" w:rsidP="006130B1">
      <w:pPr>
        <w:spacing w:line="360" w:lineRule="auto"/>
        <w:jc w:val="both"/>
        <w:rPr>
          <w:rFonts w:ascii="Century Gothic" w:eastAsia="Times New Roman" w:hAnsi="Century Gothic" w:cs="Century Gothic"/>
          <w:szCs w:val="18"/>
          <w:lang w:val="es-ES" w:eastAsia="es-ES" w:bidi="es-ES"/>
        </w:rPr>
      </w:pPr>
      <w:r>
        <w:rPr>
          <w:rFonts w:ascii="Century Gothic" w:eastAsia="Times New Roman" w:hAnsi="Century Gothic" w:cs="Century Gothic"/>
          <w:szCs w:val="18"/>
          <w:lang w:val="es-ES" w:eastAsia="es-ES" w:bidi="es-ES"/>
        </w:rPr>
        <w:t>Asimismo, tiene como objetivo r</w:t>
      </w:r>
      <w:r w:rsidRPr="000C4733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esponsabilizar sobre el cuidado de los juguetes, para que puedan tener una vida útil más larga y </w:t>
      </w:r>
      <w:r>
        <w:rPr>
          <w:rFonts w:ascii="Century Gothic" w:eastAsia="Times New Roman" w:hAnsi="Century Gothic" w:cs="Century Gothic"/>
          <w:szCs w:val="18"/>
          <w:lang w:val="es-ES" w:eastAsia="es-ES" w:bidi="es-ES"/>
        </w:rPr>
        <w:t>ser disfrutados por otros niños, además de p</w:t>
      </w:r>
      <w:r w:rsidRPr="000C4733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ropiciar la educación en valores a través </w:t>
      </w:r>
      <w:r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de </w:t>
      </w:r>
      <w:r w:rsidRPr="000C4733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la donación de juguetes (selección de juguetes, valoración de su estado, reparación en su </w:t>
      </w:r>
      <w:r w:rsidR="00A15853">
        <w:rPr>
          <w:rFonts w:ascii="Century Gothic" w:eastAsia="Times New Roman" w:hAnsi="Century Gothic" w:cs="Century Gothic"/>
          <w:szCs w:val="18"/>
          <w:lang w:val="es-ES" w:eastAsia="es-ES" w:bidi="es-ES"/>
        </w:rPr>
        <w:t>caso…</w:t>
      </w:r>
      <w:r w:rsidRPr="000C4733">
        <w:rPr>
          <w:rFonts w:ascii="Century Gothic" w:eastAsia="Times New Roman" w:hAnsi="Century Gothic" w:cs="Century Gothic"/>
          <w:szCs w:val="18"/>
          <w:lang w:val="es-ES" w:eastAsia="es-ES" w:bidi="es-ES"/>
        </w:rPr>
        <w:t>)</w:t>
      </w:r>
      <w:r>
        <w:rPr>
          <w:rFonts w:ascii="Century Gothic" w:eastAsia="Times New Roman" w:hAnsi="Century Gothic" w:cs="Century Gothic"/>
          <w:szCs w:val="18"/>
          <w:lang w:val="es-ES" w:eastAsia="es-ES" w:bidi="es-ES"/>
        </w:rPr>
        <w:t>.</w:t>
      </w:r>
    </w:p>
    <w:p w:rsidR="006130B1" w:rsidRDefault="006130B1" w:rsidP="006130B1">
      <w:pPr>
        <w:pStyle w:val="Texto"/>
        <w:spacing w:after="160" w:line="360" w:lineRule="auto"/>
        <w:jc w:val="both"/>
        <w:rPr>
          <w:rStyle w:val="Carcterdetextoennegrita"/>
          <w:sz w:val="22"/>
          <w:szCs w:val="22"/>
        </w:rPr>
      </w:pPr>
      <w:r w:rsidRPr="000C4733">
        <w:rPr>
          <w:sz w:val="22"/>
        </w:rPr>
        <w:t xml:space="preserve">El Corte Inglés </w:t>
      </w:r>
      <w:r>
        <w:rPr>
          <w:sz w:val="22"/>
        </w:rPr>
        <w:t>es</w:t>
      </w:r>
      <w:r w:rsidRPr="000C4733">
        <w:rPr>
          <w:sz w:val="22"/>
        </w:rPr>
        <w:t xml:space="preserve"> el primer distribuidor español en incorporar los Derechos del Niño y Principios Empresariales en sus políticas corporativas. Estos Principios proporcionan un marco general para entender y tratar el impacto del mundo empresarial en el bienestar de los niños. Al integrar el respeto y el apoyo a los derechos del niño dentro de sus estrategias y operaciones esenciales, El Corte Inglés fortalece sus actuales iniciativas de responsabilidad social corporativa. </w:t>
      </w:r>
    </w:p>
    <w:p w:rsidR="00A837D2" w:rsidRPr="006130B1" w:rsidRDefault="00A15853">
      <w:pPr>
        <w:rPr>
          <w:lang w:val="es-ES"/>
        </w:rPr>
      </w:pPr>
    </w:p>
    <w:sectPr w:rsidR="00A837D2" w:rsidRPr="006130B1" w:rsidSect="00551598">
      <w:headerReference w:type="default" r:id="rId8"/>
      <w:footerReference w:type="default" r:id="rId9"/>
      <w:pgSz w:w="12240" w:h="15840"/>
      <w:pgMar w:top="851" w:right="1183" w:bottom="1520" w:left="1320" w:header="899" w:footer="133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542F" w:rsidRDefault="00E320DF">
      <w:pPr>
        <w:spacing w:after="0" w:line="240" w:lineRule="auto"/>
      </w:pPr>
      <w:r>
        <w:separator/>
      </w:r>
    </w:p>
  </w:endnote>
  <w:endnote w:type="continuationSeparator" w:id="0">
    <w:p w:rsidR="001A542F" w:rsidRDefault="00E320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49F5" w:rsidRDefault="006130B1" w:rsidP="00F2434C">
    <w:pPr>
      <w:spacing w:after="0" w:line="200" w:lineRule="exact"/>
      <w:jc w:val="center"/>
      <w:rPr>
        <w:sz w:val="20"/>
        <w:szCs w:val="20"/>
      </w:rPr>
    </w:pPr>
    <w:r>
      <w:rPr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5A1AB523" wp14:editId="4DA3DE46">
          <wp:simplePos x="0" y="0"/>
          <wp:positionH relativeFrom="page">
            <wp:posOffset>5727700</wp:posOffset>
          </wp:positionH>
          <wp:positionV relativeFrom="page">
            <wp:posOffset>9081135</wp:posOffset>
          </wp:positionV>
          <wp:extent cx="1466215" cy="586740"/>
          <wp:effectExtent l="0" t="0" r="635" b="3810"/>
          <wp:wrapNone/>
          <wp:docPr id="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6215" cy="5867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542F" w:rsidRDefault="00E320DF">
      <w:pPr>
        <w:spacing w:after="0" w:line="240" w:lineRule="auto"/>
      </w:pPr>
      <w:r>
        <w:separator/>
      </w:r>
    </w:p>
  </w:footnote>
  <w:footnote w:type="continuationSeparator" w:id="0">
    <w:p w:rsidR="001A542F" w:rsidRDefault="00E320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49F5" w:rsidRDefault="00A15853">
    <w:pPr>
      <w:spacing w:after="0" w:line="200" w:lineRule="exac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0F1CFF"/>
    <w:multiLevelType w:val="hybridMultilevel"/>
    <w:tmpl w:val="04A2FB7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3E083D"/>
    <w:multiLevelType w:val="hybridMultilevel"/>
    <w:tmpl w:val="712E7DB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30B1"/>
    <w:rsid w:val="001A542F"/>
    <w:rsid w:val="006130B1"/>
    <w:rsid w:val="00841388"/>
    <w:rsid w:val="0084308D"/>
    <w:rsid w:val="00A15853"/>
    <w:rsid w:val="00E32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FD2C2"/>
  <w15:docId w15:val="{6C5D9D41-6194-47D3-B87E-FFAD1518A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30B1"/>
    <w:pPr>
      <w:widowControl w:val="0"/>
    </w:pPr>
    <w:rPr>
      <w:lang w:val="en-US"/>
    </w:rPr>
  </w:style>
  <w:style w:type="paragraph" w:styleId="Ttulo3">
    <w:name w:val="heading 3"/>
    <w:basedOn w:val="Normal"/>
    <w:next w:val="Normal"/>
    <w:link w:val="Ttulo3Car"/>
    <w:qFormat/>
    <w:rsid w:val="006130B1"/>
    <w:pPr>
      <w:widowControl/>
      <w:spacing w:before="320" w:after="80" w:line="240" w:lineRule="auto"/>
      <w:outlineLvl w:val="2"/>
    </w:pPr>
    <w:rPr>
      <w:rFonts w:ascii="Century Gothic" w:eastAsia="Times New Roman" w:hAnsi="Century Gothic" w:cs="Times New Roman"/>
      <w:color w:val="2A5A78"/>
      <w:spacing w:val="-5"/>
      <w:sz w:val="28"/>
      <w:szCs w:val="28"/>
      <w:lang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rsid w:val="006130B1"/>
    <w:rPr>
      <w:rFonts w:ascii="Century Gothic" w:eastAsia="Times New Roman" w:hAnsi="Century Gothic" w:cs="Times New Roman"/>
      <w:color w:val="2A5A78"/>
      <w:spacing w:val="-5"/>
      <w:sz w:val="28"/>
      <w:szCs w:val="28"/>
      <w:lang w:val="en-US" w:bidi="es-ES"/>
    </w:rPr>
  </w:style>
  <w:style w:type="paragraph" w:styleId="Prrafodelista">
    <w:name w:val="List Paragraph"/>
    <w:basedOn w:val="Normal"/>
    <w:uiPriority w:val="34"/>
    <w:qFormat/>
    <w:rsid w:val="006130B1"/>
    <w:pPr>
      <w:ind w:left="720"/>
      <w:contextualSpacing/>
    </w:pPr>
  </w:style>
  <w:style w:type="paragraph" w:customStyle="1" w:styleId="Subttulo1">
    <w:name w:val="Subtítulo1"/>
    <w:basedOn w:val="Normal"/>
    <w:rsid w:val="006130B1"/>
    <w:pPr>
      <w:widowControl/>
      <w:spacing w:after="600" w:line="240" w:lineRule="auto"/>
    </w:pPr>
    <w:rPr>
      <w:rFonts w:ascii="Century Gothic" w:eastAsia="Times New Roman" w:hAnsi="Century Gothic" w:cs="Century Gothic"/>
      <w:i/>
      <w:color w:val="2A5A78"/>
      <w:spacing w:val="-5"/>
      <w:lang w:val="es-ES" w:eastAsia="es-ES" w:bidi="es-ES"/>
    </w:rPr>
  </w:style>
  <w:style w:type="paragraph" w:customStyle="1" w:styleId="Texto">
    <w:name w:val="Texto"/>
    <w:basedOn w:val="Normal"/>
    <w:link w:val="TextChar"/>
    <w:rsid w:val="006130B1"/>
    <w:pPr>
      <w:widowControl/>
      <w:spacing w:after="220" w:line="336" w:lineRule="auto"/>
    </w:pPr>
    <w:rPr>
      <w:rFonts w:ascii="Century Gothic" w:eastAsia="Times New Roman" w:hAnsi="Century Gothic" w:cs="Century Gothic"/>
      <w:sz w:val="18"/>
      <w:szCs w:val="18"/>
      <w:lang w:val="es-ES" w:eastAsia="es-ES" w:bidi="es-ES"/>
    </w:rPr>
  </w:style>
  <w:style w:type="character" w:customStyle="1" w:styleId="Carcterdetextoennegrita">
    <w:name w:val="Carácter de texto en negrita"/>
    <w:link w:val="BoldText"/>
    <w:locked/>
    <w:rsid w:val="006130B1"/>
    <w:rPr>
      <w:rFonts w:ascii="Century Gothic" w:hAnsi="Century Gothic"/>
      <w:b/>
      <w:sz w:val="18"/>
      <w:szCs w:val="18"/>
      <w:lang w:eastAsia="es-ES" w:bidi="es-ES"/>
    </w:rPr>
  </w:style>
  <w:style w:type="character" w:customStyle="1" w:styleId="TextChar">
    <w:name w:val="Text Char"/>
    <w:link w:val="Texto"/>
    <w:locked/>
    <w:rsid w:val="006130B1"/>
    <w:rPr>
      <w:rFonts w:ascii="Century Gothic" w:eastAsia="Times New Roman" w:hAnsi="Century Gothic" w:cs="Century Gothic"/>
      <w:sz w:val="18"/>
      <w:szCs w:val="18"/>
      <w:lang w:eastAsia="es-ES" w:bidi="es-ES"/>
    </w:rPr>
  </w:style>
  <w:style w:type="paragraph" w:customStyle="1" w:styleId="BoldText">
    <w:name w:val="Bold Text"/>
    <w:basedOn w:val="Normal"/>
    <w:link w:val="Carcterdetextoennegrita"/>
    <w:rsid w:val="006130B1"/>
    <w:pPr>
      <w:widowControl/>
      <w:spacing w:after="0" w:line="240" w:lineRule="auto"/>
    </w:pPr>
    <w:rPr>
      <w:rFonts w:ascii="Century Gothic" w:hAnsi="Century Gothic"/>
      <w:b/>
      <w:sz w:val="18"/>
      <w:szCs w:val="18"/>
      <w:lang w:val="es-ES" w:eastAsia="es-ES" w:bidi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6130B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130B1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130B1"/>
    <w:rPr>
      <w:sz w:val="20"/>
      <w:szCs w:val="20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130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130B1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jpeg" Type="http://schemas.openxmlformats.org/officeDocument/2006/relationships/image"/><Relationship Id="rId8" Target="header1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no"?><Relationships xmlns="http://schemas.openxmlformats.org/package/2006/relationships"><Relationship Id="rId1" Target="media/image2.jpeg" Type="http://schemas.openxmlformats.org/officeDocument/2006/relationships/image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</TotalTime>
  <Pages>2</Pages>
  <Words>553</Words>
  <Characters>3046</Characters>
  <Application>Microsoft Office Word</Application>
  <DocSecurity>0</DocSecurity>
  <Lines>25</Lines>
  <Paragraphs>7</Paragraphs>
  <ScaleCrop>false</ScaleCrop>
  <Company/>
  <LinksUpToDate>false</LinksUpToDate>
  <CharactersWithSpaces>3592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2021-06-15T05:54:00Z</dcterms:created>
  <dcterms:modified xsi:type="dcterms:W3CDTF">2021-06-15T07:53:00Z</dcterms:modified>
  <cp:revision>3</cp:revision>
</cp:coreProperties>
</file>