
<file path=[Content_Types].xml><?xml version="1.0" encoding="utf-8"?>
<Types xmlns="http://schemas.openxmlformats.org/package/2006/content-types">
  <Default ContentType="image/x-emf" Extension="emf"/>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thumbnail.emf" Type="http://schemas.openxmlformats.org/package/2006/relationships/metadata/thumbnail"/><Relationship Id="rId3" Target="docProps/core.xml" Type="http://schemas.openxmlformats.org/package/2006/relationships/metadata/core-properties"/><Relationship Id="rId4"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558F" w:rsidRDefault="002C558F" w:rsidP="002C558F">
      <w:pPr>
        <w:rPr>
          <w:rFonts w:ascii="Georgia" w:hAnsi="Georgia"/>
          <w:b/>
          <w:sz w:val="18"/>
          <w:szCs w:val="18"/>
          <w:u w:val="single"/>
        </w:rPr>
      </w:pPr>
      <w:r w:rsidRPr="006C1148">
        <w:rPr>
          <w:rFonts w:ascii="Georgia" w:hAnsi="Georgia"/>
          <w:b/>
          <w:sz w:val="18"/>
          <w:szCs w:val="18"/>
          <w:u w:val="single"/>
        </w:rPr>
        <w:t>Con motivo de la celebración del Día Internacional de los Museos</w:t>
      </w:r>
    </w:p>
    <w:p w:rsidR="002C558F" w:rsidRPr="006C1148" w:rsidRDefault="002C558F" w:rsidP="002C558F">
      <w:pPr>
        <w:rPr>
          <w:rFonts w:ascii="Georgia" w:hAnsi="Georgia"/>
          <w:b/>
          <w:sz w:val="18"/>
          <w:szCs w:val="18"/>
          <w:u w:val="single"/>
        </w:rPr>
      </w:pPr>
    </w:p>
    <w:p w:rsidR="002C558F" w:rsidRPr="006C1148" w:rsidRDefault="002C558F" w:rsidP="002C558F">
      <w:pPr>
        <w:rPr>
          <w:rFonts w:ascii="Georgia" w:hAnsi="Georgia"/>
          <w:b/>
          <w:szCs w:val="22"/>
        </w:rPr>
      </w:pPr>
      <w:r w:rsidRPr="006C1148">
        <w:rPr>
          <w:rFonts w:ascii="Georgia" w:hAnsi="Georgia"/>
          <w:b/>
          <w:szCs w:val="22"/>
        </w:rPr>
        <w:t>El Museo Nacional del Prado transforma su fachada clásica en una monumental portada barroca</w:t>
      </w:r>
    </w:p>
    <w:p w:rsidR="002C558F" w:rsidRDefault="002C558F" w:rsidP="002C558F">
      <w:pPr>
        <w:rPr>
          <w:rFonts w:ascii="Georgia" w:hAnsi="Georgia"/>
          <w:b/>
          <w:sz w:val="30"/>
          <w:szCs w:val="30"/>
        </w:rPr>
      </w:pPr>
    </w:p>
    <w:p w:rsidR="002C558F" w:rsidRPr="006C1148" w:rsidRDefault="002C558F" w:rsidP="002C558F">
      <w:pPr>
        <w:jc w:val="both"/>
        <w:rPr>
          <w:rFonts w:ascii="Georgia" w:hAnsi="Georgia"/>
          <w:b/>
          <w:sz w:val="18"/>
          <w:szCs w:val="18"/>
        </w:rPr>
      </w:pPr>
      <w:r w:rsidRPr="006C1148">
        <w:rPr>
          <w:rFonts w:ascii="Georgia" w:hAnsi="Georgia"/>
          <w:b/>
          <w:sz w:val="18"/>
          <w:szCs w:val="18"/>
        </w:rPr>
        <w:t>Esta intervención artística, realizada en colaboración con El Corte Inglés, culmina la propuesta expositiva de este semestre en el Museo, que gira en torno a este periodo artístico con las muestras de Guido Reni, Herrera ‘el Mozo’ y el itinerario por la colección permanente dedicado a Calderón de la Barca.</w:t>
      </w:r>
    </w:p>
    <w:p w:rsidR="002C558F" w:rsidRPr="006C1148" w:rsidRDefault="002C558F" w:rsidP="002C558F">
      <w:pPr>
        <w:jc w:val="both"/>
        <w:rPr>
          <w:rFonts w:ascii="Georgia" w:hAnsi="Georgia"/>
          <w:b/>
          <w:sz w:val="18"/>
          <w:szCs w:val="18"/>
        </w:rPr>
      </w:pPr>
    </w:p>
    <w:p w:rsidR="002C558F" w:rsidRPr="006C1148" w:rsidRDefault="002C558F" w:rsidP="002C558F">
      <w:pPr>
        <w:jc w:val="both"/>
        <w:rPr>
          <w:rFonts w:ascii="Georgia" w:hAnsi="Georgia"/>
          <w:b/>
          <w:sz w:val="18"/>
          <w:szCs w:val="18"/>
        </w:rPr>
      </w:pPr>
      <w:r w:rsidRPr="006C1148">
        <w:rPr>
          <w:rFonts w:ascii="Georgia" w:hAnsi="Georgia"/>
          <w:b/>
          <w:sz w:val="18"/>
          <w:szCs w:val="18"/>
        </w:rPr>
        <w:t>Se trata de un proyecto diseñado por Casa Josephine Studio que transforma la emblemática fachada neoclásica de la puerta de Goya en un decorado barroco que celebra el Día Internacional de los Museos.</w:t>
      </w:r>
    </w:p>
    <w:p w:rsidR="002C558F" w:rsidRPr="006C1148" w:rsidRDefault="002C558F" w:rsidP="002C558F">
      <w:pPr>
        <w:jc w:val="both"/>
        <w:rPr>
          <w:rFonts w:ascii="Georgia" w:hAnsi="Georgia"/>
          <w:b/>
          <w:sz w:val="18"/>
          <w:szCs w:val="18"/>
        </w:rPr>
      </w:pPr>
    </w:p>
    <w:p w:rsidR="002C558F" w:rsidRPr="006C1148" w:rsidRDefault="002C558F" w:rsidP="002C558F">
      <w:pPr>
        <w:jc w:val="both"/>
        <w:rPr>
          <w:rFonts w:ascii="Georgia" w:hAnsi="Georgia"/>
          <w:b/>
          <w:sz w:val="18"/>
          <w:szCs w:val="18"/>
        </w:rPr>
      </w:pPr>
      <w:r w:rsidRPr="006C1148">
        <w:rPr>
          <w:rFonts w:ascii="Georgia" w:hAnsi="Georgia"/>
          <w:b/>
          <w:sz w:val="18"/>
          <w:szCs w:val="18"/>
        </w:rPr>
        <w:t>Durante toda la jornada del 18 de mayo, el acceso al Prado será gratuito a su colección permanente y a las exposiciones temporales y, desde la calle Felipe IV, todos los transeúntes podrán inmortalizar en una fotografía esta original fachada enmarcada con una moldura barroca, gracias a la colaboración de la Fundación Amigos del Museo del Prado.</w:t>
      </w:r>
    </w:p>
    <w:p w:rsidR="002C558F" w:rsidRPr="006C1148" w:rsidRDefault="002C558F" w:rsidP="002C558F">
      <w:pPr>
        <w:jc w:val="both"/>
        <w:rPr>
          <w:rFonts w:ascii="Georgia" w:hAnsi="Georgia"/>
          <w:b/>
          <w:sz w:val="18"/>
          <w:szCs w:val="18"/>
        </w:rPr>
      </w:pPr>
    </w:p>
    <w:p w:rsidR="002C558F" w:rsidRPr="006C1148" w:rsidRDefault="002C558F" w:rsidP="002C558F">
      <w:pPr>
        <w:jc w:val="both"/>
        <w:rPr>
          <w:rFonts w:ascii="Georgia" w:hAnsi="Georgia"/>
          <w:b/>
          <w:sz w:val="18"/>
          <w:szCs w:val="18"/>
        </w:rPr>
      </w:pPr>
      <w:r w:rsidRPr="006C1148">
        <w:rPr>
          <w:rFonts w:ascii="Georgia" w:hAnsi="Georgia"/>
          <w:b/>
          <w:sz w:val="18"/>
          <w:szCs w:val="18"/>
        </w:rPr>
        <w:t>Natalie Schwamova ha preparado un programa musical especial para celebrar esta jornada festiva que interpretará en la Galería Central del edificio Villanueva.</w:t>
      </w:r>
    </w:p>
    <w:p w:rsidR="002C558F" w:rsidRDefault="002C558F" w:rsidP="002C558F">
      <w:pPr>
        <w:jc w:val="both"/>
        <w:rPr>
          <w:sz w:val="28"/>
          <w:szCs w:val="28"/>
        </w:rPr>
      </w:pPr>
    </w:p>
    <w:p w:rsidR="002C558F" w:rsidRPr="005935DB" w:rsidRDefault="002C558F" w:rsidP="002C558F">
      <w:pPr>
        <w:jc w:val="both"/>
        <w:rPr>
          <w:rFonts w:ascii="Georgia" w:hAnsi="Georgia"/>
          <w:b/>
          <w:sz w:val="16"/>
          <w:szCs w:val="16"/>
          <w:u w:val="single"/>
        </w:rPr>
      </w:pPr>
      <w:r w:rsidRPr="005935DB">
        <w:rPr>
          <w:rFonts w:ascii="Georgia" w:hAnsi="Georgia"/>
          <w:b/>
          <w:sz w:val="16"/>
          <w:szCs w:val="16"/>
          <w:u w:val="single"/>
        </w:rPr>
        <w:t xml:space="preserve">Museo Nacional del Prado, </w:t>
      </w:r>
      <w:r>
        <w:rPr>
          <w:rFonts w:ascii="Georgia" w:hAnsi="Georgia"/>
          <w:b/>
          <w:sz w:val="16"/>
          <w:szCs w:val="16"/>
          <w:u w:val="single"/>
        </w:rPr>
        <w:t>18 de mayo de 2023</w:t>
      </w:r>
    </w:p>
    <w:p w:rsidR="002C558F" w:rsidRPr="005D3AA6" w:rsidRDefault="002C558F" w:rsidP="002C558F">
      <w:pPr>
        <w:jc w:val="both"/>
        <w:rPr>
          <w:rFonts w:ascii="Georgia" w:hAnsi="Georgia"/>
          <w:sz w:val="20"/>
        </w:rPr>
      </w:pPr>
      <w:r w:rsidRPr="005D3AA6">
        <w:rPr>
          <w:rFonts w:ascii="Georgia" w:hAnsi="Georgia"/>
          <w:sz w:val="20"/>
        </w:rPr>
        <w:t xml:space="preserve">El presidente del Real Patronato del Museo del Prado, Javier Solana, su director, Miguel Falomir, y la </w:t>
      </w:r>
      <w:r>
        <w:rPr>
          <w:rFonts w:ascii="Georgia" w:hAnsi="Georgia"/>
          <w:sz w:val="20"/>
        </w:rPr>
        <w:t>consejera</w:t>
      </w:r>
      <w:r w:rsidRPr="005D3AA6">
        <w:rPr>
          <w:rFonts w:ascii="Georgia" w:hAnsi="Georgia"/>
          <w:sz w:val="20"/>
        </w:rPr>
        <w:t xml:space="preserve"> de El Corte Inglés</w:t>
      </w:r>
      <w:r>
        <w:rPr>
          <w:rFonts w:ascii="Georgia" w:hAnsi="Georgia"/>
          <w:sz w:val="20"/>
        </w:rPr>
        <w:t xml:space="preserve"> y vicepresidenta de la Fundación Ramón Areces</w:t>
      </w:r>
      <w:r w:rsidRPr="005D3AA6">
        <w:rPr>
          <w:rFonts w:ascii="Georgia" w:hAnsi="Georgia"/>
          <w:sz w:val="20"/>
        </w:rPr>
        <w:t xml:space="preserve">, </w:t>
      </w:r>
      <w:r>
        <w:rPr>
          <w:rFonts w:ascii="Georgia" w:hAnsi="Georgia"/>
          <w:sz w:val="20"/>
        </w:rPr>
        <w:t>Cristina</w:t>
      </w:r>
      <w:r w:rsidRPr="005D3AA6">
        <w:rPr>
          <w:rFonts w:ascii="Georgia" w:hAnsi="Georgia"/>
          <w:sz w:val="20"/>
        </w:rPr>
        <w:t xml:space="preserve"> Álvarez, han presentado esta mañana </w:t>
      </w:r>
      <w:r>
        <w:rPr>
          <w:rFonts w:ascii="Georgia" w:hAnsi="Georgia"/>
          <w:sz w:val="20"/>
        </w:rPr>
        <w:t>esta</w:t>
      </w:r>
      <w:r w:rsidRPr="005D3AA6">
        <w:rPr>
          <w:rFonts w:ascii="Georgia" w:hAnsi="Georgia"/>
          <w:sz w:val="20"/>
        </w:rPr>
        <w:t xml:space="preserve"> intervención artística </w:t>
      </w:r>
      <w:r>
        <w:rPr>
          <w:rFonts w:ascii="Georgia" w:hAnsi="Georgia"/>
          <w:sz w:val="20"/>
        </w:rPr>
        <w:t xml:space="preserve">contemporánea </w:t>
      </w:r>
      <w:r w:rsidRPr="005D3AA6">
        <w:rPr>
          <w:rFonts w:ascii="Georgia" w:hAnsi="Georgia"/>
          <w:sz w:val="20"/>
        </w:rPr>
        <w:t>que transforma la fachada de la puerta de Goya de estilo neoclásic</w:t>
      </w:r>
      <w:r>
        <w:rPr>
          <w:rFonts w:ascii="Georgia" w:hAnsi="Georgia"/>
          <w:sz w:val="20"/>
        </w:rPr>
        <w:t>o</w:t>
      </w:r>
      <w:r w:rsidRPr="005D3AA6">
        <w:rPr>
          <w:rFonts w:ascii="Georgia" w:hAnsi="Georgia"/>
          <w:sz w:val="20"/>
        </w:rPr>
        <w:t xml:space="preserve"> en un decorado barroco efímero, utilizando masa vegetal.</w:t>
      </w:r>
    </w:p>
    <w:p w:rsidR="002C558F" w:rsidRDefault="002C558F" w:rsidP="002C558F">
      <w:pPr>
        <w:jc w:val="both"/>
        <w:rPr>
          <w:rFonts w:ascii="Georgia" w:hAnsi="Georgia"/>
          <w:sz w:val="20"/>
        </w:rPr>
      </w:pPr>
    </w:p>
    <w:p w:rsidR="002C558F" w:rsidRDefault="002C558F" w:rsidP="002C558F">
      <w:pPr>
        <w:jc w:val="both"/>
        <w:rPr>
          <w:rFonts w:ascii="Georgia" w:hAnsi="Georgia"/>
          <w:sz w:val="20"/>
        </w:rPr>
      </w:pPr>
      <w:r w:rsidRPr="005935DB">
        <w:rPr>
          <w:rFonts w:ascii="Georgia" w:hAnsi="Georgia"/>
          <w:sz w:val="20"/>
        </w:rPr>
        <w:t xml:space="preserve">Esta instalación significa y culmina el peso que el arte barroco tiene en la programación del Museo en </w:t>
      </w:r>
      <w:r>
        <w:rPr>
          <w:rFonts w:ascii="Georgia" w:hAnsi="Georgia"/>
          <w:sz w:val="20"/>
        </w:rPr>
        <w:t>este</w:t>
      </w:r>
      <w:r w:rsidRPr="005935DB">
        <w:rPr>
          <w:rFonts w:ascii="Georgia" w:hAnsi="Georgia"/>
          <w:sz w:val="20"/>
        </w:rPr>
        <w:t xml:space="preserve"> primer semestre, donde coinciden varias exposiciones de dic</w:t>
      </w:r>
      <w:r>
        <w:rPr>
          <w:rFonts w:ascii="Georgia" w:hAnsi="Georgia"/>
          <w:sz w:val="20"/>
        </w:rPr>
        <w:t xml:space="preserve">ha época artística, Guido Reni y </w:t>
      </w:r>
      <w:r w:rsidRPr="005935DB">
        <w:rPr>
          <w:rFonts w:ascii="Georgia" w:hAnsi="Georgia"/>
          <w:sz w:val="20"/>
        </w:rPr>
        <w:t>Herrera el Mozo, además de un itinerario por la colección permanente d</w:t>
      </w:r>
      <w:r>
        <w:rPr>
          <w:rFonts w:ascii="Georgia" w:hAnsi="Georgia"/>
          <w:sz w:val="20"/>
        </w:rPr>
        <w:t xml:space="preserve">edicado a Calderón de la Barca, y pone de manifiesto </w:t>
      </w:r>
      <w:r w:rsidRPr="007C0174">
        <w:rPr>
          <w:rFonts w:ascii="Georgia" w:hAnsi="Georgia"/>
          <w:sz w:val="20"/>
        </w:rPr>
        <w:t>todo el potencial transformador que tienen los museos para el desarrollo sost</w:t>
      </w:r>
      <w:r>
        <w:rPr>
          <w:rFonts w:ascii="Georgia" w:hAnsi="Georgia"/>
          <w:sz w:val="20"/>
        </w:rPr>
        <w:t xml:space="preserve">enible y el bienestar, siguiendo el lema del ICOM </w:t>
      </w:r>
      <w:r w:rsidRPr="00D61038">
        <w:rPr>
          <w:rFonts w:ascii="Georgia" w:hAnsi="Georgia"/>
          <w:sz w:val="20"/>
        </w:rPr>
        <w:t>“Muse</w:t>
      </w:r>
      <w:r>
        <w:rPr>
          <w:rFonts w:ascii="Georgia" w:hAnsi="Georgia"/>
          <w:sz w:val="20"/>
        </w:rPr>
        <w:t>os, sostenibilidad y bienestar”.</w:t>
      </w:r>
    </w:p>
    <w:p w:rsidR="002C558F" w:rsidRPr="005935DB" w:rsidRDefault="002C558F" w:rsidP="002C558F">
      <w:pPr>
        <w:jc w:val="both"/>
        <w:rPr>
          <w:rFonts w:ascii="Georgia" w:hAnsi="Georgia"/>
          <w:sz w:val="20"/>
        </w:rPr>
      </w:pPr>
    </w:p>
    <w:p w:rsidR="002C558F" w:rsidRDefault="002C558F" w:rsidP="002C558F">
      <w:pPr>
        <w:jc w:val="both"/>
        <w:rPr>
          <w:rFonts w:ascii="Georgia" w:hAnsi="Georgia"/>
          <w:sz w:val="20"/>
        </w:rPr>
      </w:pPr>
      <w:r w:rsidRPr="005935DB">
        <w:rPr>
          <w:rFonts w:ascii="Georgia" w:hAnsi="Georgia"/>
          <w:sz w:val="20"/>
        </w:rPr>
        <w:t xml:space="preserve">Javier Solana ha destacado que este proyecto tiene la voluntad “de sacar a luz la inmensa actividad que estamos desarrollando y atraer nuevos visitantes a unas exposiciones realmente únicas”. </w:t>
      </w:r>
    </w:p>
    <w:p w:rsidR="002C558F" w:rsidRPr="005935DB" w:rsidRDefault="002C558F" w:rsidP="002C558F">
      <w:pPr>
        <w:jc w:val="both"/>
        <w:rPr>
          <w:rFonts w:ascii="Georgia" w:hAnsi="Georgia"/>
          <w:sz w:val="20"/>
        </w:rPr>
      </w:pPr>
    </w:p>
    <w:p w:rsidR="002C558F" w:rsidRPr="00E75814" w:rsidRDefault="002C558F" w:rsidP="002C558F">
      <w:pPr>
        <w:jc w:val="both"/>
        <w:rPr>
          <w:rFonts w:ascii="Georgia" w:hAnsi="Georgia"/>
          <w:sz w:val="20"/>
        </w:rPr>
      </w:pPr>
      <w:r w:rsidRPr="006C4642">
        <w:rPr>
          <w:rFonts w:ascii="Georgia" w:hAnsi="Georgia"/>
          <w:sz w:val="20"/>
        </w:rPr>
        <w:t>La intervención en la fachada, que estará instalada hasta finales de junio y es respetuosa con los elementos originales de</w:t>
      </w:r>
      <w:r>
        <w:rPr>
          <w:rFonts w:ascii="Georgia" w:hAnsi="Georgia"/>
          <w:sz w:val="20"/>
        </w:rPr>
        <w:t xml:space="preserve"> la arquitectura de Villanueva, </w:t>
      </w:r>
      <w:r w:rsidRPr="00E75814">
        <w:rPr>
          <w:rFonts w:ascii="Georgia" w:hAnsi="Georgia"/>
          <w:sz w:val="20"/>
        </w:rPr>
        <w:t>interpreta</w:t>
      </w:r>
      <w:r>
        <w:rPr>
          <w:rFonts w:ascii="Georgia" w:hAnsi="Georgia"/>
          <w:sz w:val="20"/>
        </w:rPr>
        <w:t>,</w:t>
      </w:r>
      <w:r w:rsidRPr="00E75814">
        <w:rPr>
          <w:rFonts w:ascii="Georgia" w:hAnsi="Georgia"/>
          <w:sz w:val="20"/>
        </w:rPr>
        <w:t xml:space="preserve"> en clave contemporánea y utilizando masa vegetal como material</w:t>
      </w:r>
      <w:r>
        <w:rPr>
          <w:rFonts w:ascii="Georgia" w:hAnsi="Georgia"/>
          <w:sz w:val="20"/>
        </w:rPr>
        <w:t>,</w:t>
      </w:r>
      <w:r w:rsidRPr="00E75814">
        <w:rPr>
          <w:rFonts w:ascii="Georgia" w:hAnsi="Georgia"/>
          <w:sz w:val="20"/>
        </w:rPr>
        <w:t xml:space="preserve"> algunos elementos visuales y conceptuales de la arquitectura barroca, y los superpone a la fachada </w:t>
      </w:r>
      <w:r>
        <w:rPr>
          <w:rFonts w:ascii="Georgia" w:hAnsi="Georgia"/>
          <w:sz w:val="20"/>
        </w:rPr>
        <w:t>de la p</w:t>
      </w:r>
      <w:r w:rsidRPr="00E75814">
        <w:rPr>
          <w:rFonts w:ascii="Georgia" w:hAnsi="Georgia"/>
          <w:sz w:val="20"/>
        </w:rPr>
        <w:t xml:space="preserve">uerta de Goya. De esta manera, la fachada del edificio, </w:t>
      </w:r>
      <w:r>
        <w:rPr>
          <w:rFonts w:ascii="Georgia" w:hAnsi="Georgia"/>
          <w:sz w:val="20"/>
        </w:rPr>
        <w:t xml:space="preserve">de estilo neoclásico, </w:t>
      </w:r>
      <w:r w:rsidRPr="00E75814">
        <w:rPr>
          <w:rFonts w:ascii="Georgia" w:hAnsi="Georgia"/>
          <w:sz w:val="20"/>
        </w:rPr>
        <w:t xml:space="preserve">se convierte en un decorado barroco efímero, a la manera de las arquitecturas que se realizaban para conmemorar victorias militares, nacimientos reales o desfiles. </w:t>
      </w:r>
    </w:p>
    <w:p w:rsidR="002C558F" w:rsidRPr="00E75814" w:rsidRDefault="002C558F" w:rsidP="002C558F">
      <w:pPr>
        <w:jc w:val="both"/>
        <w:rPr>
          <w:rFonts w:ascii="Georgia" w:hAnsi="Georgia"/>
          <w:sz w:val="20"/>
        </w:rPr>
      </w:pPr>
    </w:p>
    <w:p w:rsidR="002C558F" w:rsidRPr="00E75814" w:rsidRDefault="002C558F" w:rsidP="002C558F">
      <w:pPr>
        <w:jc w:val="both"/>
        <w:rPr>
          <w:rFonts w:ascii="Georgia" w:hAnsi="Georgia"/>
          <w:sz w:val="20"/>
        </w:rPr>
      </w:pPr>
      <w:r w:rsidRPr="00E75814">
        <w:rPr>
          <w:rFonts w:ascii="Georgia" w:hAnsi="Georgia"/>
          <w:sz w:val="20"/>
        </w:rPr>
        <w:t>Para lograrlo</w:t>
      </w:r>
      <w:r>
        <w:rPr>
          <w:rFonts w:ascii="Georgia" w:hAnsi="Georgia"/>
          <w:sz w:val="20"/>
        </w:rPr>
        <w:t xml:space="preserve"> se</w:t>
      </w:r>
      <w:r w:rsidRPr="00E75814">
        <w:rPr>
          <w:rFonts w:ascii="Georgia" w:hAnsi="Georgia"/>
          <w:sz w:val="20"/>
        </w:rPr>
        <w:t xml:space="preserve"> ha utilizado masa vegetal de dos tipos: </w:t>
      </w:r>
      <w:r w:rsidRPr="002C07CD">
        <w:rPr>
          <w:rFonts w:ascii="Georgia" w:hAnsi="Georgia"/>
          <w:sz w:val="20"/>
        </w:rPr>
        <w:t>50.000 tallos de ruscus aculeatus</w:t>
      </w:r>
      <w:r w:rsidRPr="00E75814">
        <w:rPr>
          <w:rFonts w:ascii="Georgia" w:hAnsi="Georgia"/>
          <w:color w:val="FF0000"/>
          <w:sz w:val="20"/>
        </w:rPr>
        <w:t xml:space="preserve"> </w:t>
      </w:r>
      <w:r w:rsidRPr="00E75814">
        <w:rPr>
          <w:rFonts w:ascii="Georgia" w:hAnsi="Georgia"/>
          <w:sz w:val="20"/>
        </w:rPr>
        <w:t>pintados de dorado para cubrir las columnas centrales del pórtico, y 25.000 hortensias para la zona del atrio, cubriendo los floreros. Las formas de la masa vegetal dorada que recubre las columnas centrales son más regulares, recordando a la jardinería barroca francesa</w:t>
      </w:r>
      <w:r>
        <w:rPr>
          <w:rFonts w:ascii="Georgia" w:hAnsi="Georgia"/>
          <w:sz w:val="20"/>
        </w:rPr>
        <w:t>, y e</w:t>
      </w:r>
      <w:r w:rsidRPr="00E75814">
        <w:rPr>
          <w:rFonts w:ascii="Georgia" w:hAnsi="Georgia"/>
          <w:sz w:val="20"/>
        </w:rPr>
        <w:t xml:space="preserve">mulan las columnas de anillos. En la zona del atrio, la masa vegetal simula haber estallado y rebosado los jarrones de la fachada, en un juego visual claramente barroco. En esta zona, el diseño de las dos grandes estructuras florales que cubren los jarrones potencia el efecto helicoidal, diagonal y asimétrico. El proyecto se ha ejecutado con la colaboración del estudio de arte floral Cordero </w:t>
      </w:r>
      <w:r>
        <w:rPr>
          <w:rFonts w:ascii="Georgia" w:hAnsi="Georgia"/>
          <w:sz w:val="20"/>
        </w:rPr>
        <w:t>Atelier y también ha sido significativa la participación de la empresa Peri, que h</w:t>
      </w:r>
      <w:r w:rsidRPr="009C35E6">
        <w:rPr>
          <w:rFonts w:ascii="Georgia" w:hAnsi="Georgia"/>
          <w:sz w:val="20"/>
        </w:rPr>
        <w:t xml:space="preserve">a </w:t>
      </w:r>
      <w:r>
        <w:rPr>
          <w:rFonts w:ascii="Georgia" w:hAnsi="Georgia"/>
          <w:sz w:val="20"/>
        </w:rPr>
        <w:t>realizado</w:t>
      </w:r>
      <w:r w:rsidRPr="009C35E6">
        <w:rPr>
          <w:rFonts w:ascii="Georgia" w:hAnsi="Georgia"/>
          <w:sz w:val="20"/>
        </w:rPr>
        <w:t xml:space="preserve"> el estudio téc</w:t>
      </w:r>
      <w:r>
        <w:rPr>
          <w:rFonts w:ascii="Georgia" w:hAnsi="Georgia"/>
          <w:sz w:val="20"/>
        </w:rPr>
        <w:t>nico de pesos y resistencias</w:t>
      </w:r>
      <w:r w:rsidRPr="009C35E6">
        <w:rPr>
          <w:rFonts w:ascii="Georgia" w:hAnsi="Georgia"/>
          <w:sz w:val="20"/>
        </w:rPr>
        <w:t xml:space="preserve"> </w:t>
      </w:r>
      <w:r>
        <w:rPr>
          <w:rFonts w:ascii="Georgia" w:hAnsi="Georgia"/>
          <w:sz w:val="20"/>
        </w:rPr>
        <w:t xml:space="preserve">de la instalación </w:t>
      </w:r>
      <w:r w:rsidRPr="009C35E6">
        <w:rPr>
          <w:rFonts w:ascii="Georgia" w:hAnsi="Georgia"/>
          <w:sz w:val="20"/>
        </w:rPr>
        <w:t>y ha cedido la estructura de andamios para las columnas centrales.</w:t>
      </w:r>
    </w:p>
    <w:p w:rsidR="002C558F" w:rsidRPr="00E75814" w:rsidRDefault="002C558F" w:rsidP="002C558F">
      <w:pPr>
        <w:jc w:val="both"/>
        <w:rPr>
          <w:rFonts w:ascii="Georgia" w:hAnsi="Georgia"/>
          <w:sz w:val="20"/>
        </w:rPr>
      </w:pPr>
    </w:p>
    <w:p w:rsidR="002C558F" w:rsidRDefault="002C558F" w:rsidP="002C558F">
      <w:pPr>
        <w:jc w:val="both"/>
        <w:rPr>
          <w:rFonts w:ascii="Georgia" w:hAnsi="Georgia"/>
          <w:sz w:val="20"/>
        </w:rPr>
      </w:pPr>
      <w:r>
        <w:rPr>
          <w:rFonts w:ascii="Georgia" w:hAnsi="Georgia"/>
          <w:sz w:val="20"/>
        </w:rPr>
        <w:t>Durante toda la jornada del 18 de mayo, se instalará además un panel que enmarca la fachada del Museo en perspectiva y que propone punto de foto, instalado en la calle Felipe IV, gracias a la colaboración de la Fundación Amigos del Museo del Prado, para que todos los ciudadanos que se acerquen al Prado a celebrar este día tan especial puedan tomar imágenes de esta intervención artística y</w:t>
      </w:r>
      <w:r w:rsidRPr="00AF1318">
        <w:rPr>
          <w:rFonts w:ascii="Georgia" w:hAnsi="Georgia"/>
          <w:sz w:val="20"/>
        </w:rPr>
        <w:t xml:space="preserve"> compartir en redes sociales </w:t>
      </w:r>
      <w:r>
        <w:rPr>
          <w:rFonts w:ascii="Georgia" w:hAnsi="Georgia"/>
          <w:sz w:val="20"/>
        </w:rPr>
        <w:t>sus</w:t>
      </w:r>
      <w:r w:rsidRPr="00AF1318">
        <w:rPr>
          <w:rFonts w:ascii="Georgia" w:hAnsi="Georgia"/>
          <w:sz w:val="20"/>
        </w:rPr>
        <w:t xml:space="preserve"> fotografías junto a </w:t>
      </w:r>
      <w:r>
        <w:rPr>
          <w:rFonts w:ascii="Georgia" w:hAnsi="Georgia"/>
          <w:sz w:val="20"/>
        </w:rPr>
        <w:t>la obra</w:t>
      </w:r>
      <w:r w:rsidRPr="00AF1318">
        <w:rPr>
          <w:rFonts w:ascii="Georgia" w:hAnsi="Georgia"/>
          <w:sz w:val="20"/>
        </w:rPr>
        <w:t>.</w:t>
      </w:r>
    </w:p>
    <w:p w:rsidR="002C558F" w:rsidRDefault="002C558F" w:rsidP="002C558F">
      <w:pPr>
        <w:jc w:val="both"/>
        <w:rPr>
          <w:rFonts w:ascii="Georgia" w:hAnsi="Georgia"/>
          <w:sz w:val="20"/>
        </w:rPr>
      </w:pPr>
    </w:p>
    <w:p w:rsidR="002C558F" w:rsidRDefault="002C558F" w:rsidP="002C558F">
      <w:pPr>
        <w:jc w:val="both"/>
        <w:rPr>
          <w:rFonts w:ascii="Georgia" w:hAnsi="Georgia"/>
          <w:sz w:val="20"/>
        </w:rPr>
      </w:pPr>
      <w:r w:rsidRPr="00796AC2">
        <w:rPr>
          <w:rFonts w:ascii="Georgia" w:hAnsi="Georgia"/>
          <w:sz w:val="20"/>
        </w:rPr>
        <w:t>Para completar este proyecto, El Corte Inglés ha programado un ciclo charlas del 29 de mayo al 1 de junio a las 19:30 en Ámbito Cultural de su centro de Callao que abordará el movimiento Barroco a través de diferentes disciplinas: música, poesía, arte y moda. Un ciclo en el que estarán presentes entre otros</w:t>
      </w:r>
      <w:r>
        <w:rPr>
          <w:rFonts w:ascii="Georgia" w:hAnsi="Georgia"/>
          <w:sz w:val="20"/>
        </w:rPr>
        <w:t xml:space="preserve"> expertos</w:t>
      </w:r>
      <w:r w:rsidRPr="00796AC2">
        <w:rPr>
          <w:rFonts w:ascii="Georgia" w:hAnsi="Georgia"/>
          <w:sz w:val="20"/>
        </w:rPr>
        <w:t>, el director de orquesta y compositor Ramón Torrelledó, el comisario de la exposición Herrera el Mozo, Benito Navarrete, y el poeta y coordinador del ciclo #LdeLírica, Gonzalo Escarpa.</w:t>
      </w:r>
    </w:p>
    <w:p w:rsidR="002C558F" w:rsidRDefault="002C558F" w:rsidP="002C558F">
      <w:pPr>
        <w:jc w:val="both"/>
        <w:rPr>
          <w:rFonts w:ascii="Georgia" w:hAnsi="Georgia"/>
          <w:color w:val="FF0000"/>
          <w:sz w:val="20"/>
        </w:rPr>
      </w:pPr>
    </w:p>
    <w:p w:rsidR="002C558F" w:rsidRPr="00912A6F" w:rsidRDefault="002C558F" w:rsidP="002C558F">
      <w:pPr>
        <w:jc w:val="both"/>
        <w:rPr>
          <w:rFonts w:ascii="Georgia" w:hAnsi="Georgia"/>
          <w:sz w:val="20"/>
        </w:rPr>
      </w:pPr>
      <w:r w:rsidRPr="00912A6F">
        <w:rPr>
          <w:rFonts w:ascii="Georgia" w:hAnsi="Georgia"/>
          <w:sz w:val="20"/>
        </w:rPr>
        <w:t>Natalie Schwamova, la pianista</w:t>
      </w:r>
      <w:r>
        <w:rPr>
          <w:rFonts w:ascii="Georgia" w:hAnsi="Georgia"/>
          <w:sz w:val="20"/>
        </w:rPr>
        <w:t xml:space="preserve"> residente</w:t>
      </w:r>
      <w:r w:rsidRPr="00912A6F">
        <w:rPr>
          <w:rFonts w:ascii="Georgia" w:hAnsi="Georgia"/>
          <w:sz w:val="20"/>
        </w:rPr>
        <w:t xml:space="preserve">, ha preparado un programa especial para celebrar </w:t>
      </w:r>
      <w:r>
        <w:rPr>
          <w:rFonts w:ascii="Georgia" w:hAnsi="Georgia"/>
          <w:sz w:val="20"/>
        </w:rPr>
        <w:t>el Día Internacional de los Museos</w:t>
      </w:r>
      <w:r w:rsidRPr="00912A6F">
        <w:rPr>
          <w:rFonts w:ascii="Georgia" w:hAnsi="Georgia"/>
          <w:sz w:val="20"/>
        </w:rPr>
        <w:t xml:space="preserve"> que interpretará en la Galería Central del edificio Villanueva.</w:t>
      </w:r>
    </w:p>
    <w:p w:rsidR="002C558F" w:rsidRDefault="002C558F" w:rsidP="002C558F">
      <w:pPr>
        <w:rPr>
          <w:rFonts w:ascii="Georgia" w:hAnsi="Georgia"/>
          <w:color w:val="FF0000"/>
          <w:sz w:val="20"/>
        </w:rPr>
      </w:pPr>
    </w:p>
    <w:p w:rsidR="002C558F" w:rsidRPr="00912A6F" w:rsidRDefault="002C558F" w:rsidP="002C558F">
      <w:pPr>
        <w:rPr>
          <w:rFonts w:ascii="Georgia" w:hAnsi="Georgia"/>
          <w:sz w:val="20"/>
        </w:rPr>
      </w:pPr>
      <w:r w:rsidRPr="00912A6F">
        <w:rPr>
          <w:rFonts w:ascii="Georgia" w:hAnsi="Georgia"/>
          <w:sz w:val="20"/>
        </w:rPr>
        <w:t>Sala 28 (edificio Villanueva, planta 1)</w:t>
      </w:r>
    </w:p>
    <w:p w:rsidR="002C558F" w:rsidRPr="00912A6F" w:rsidRDefault="002C558F" w:rsidP="002C558F">
      <w:pPr>
        <w:rPr>
          <w:rFonts w:ascii="Georgia" w:hAnsi="Georgia"/>
          <w:sz w:val="20"/>
        </w:rPr>
      </w:pPr>
      <w:r w:rsidRPr="00912A6F">
        <w:rPr>
          <w:rFonts w:ascii="Georgia" w:hAnsi="Georgia"/>
          <w:sz w:val="20"/>
        </w:rPr>
        <w:t>Jueves 18 de mayo de 2023</w:t>
      </w:r>
    </w:p>
    <w:p w:rsidR="002C558F" w:rsidRPr="00912A6F" w:rsidRDefault="002C558F" w:rsidP="002C558F">
      <w:pPr>
        <w:rPr>
          <w:rFonts w:ascii="Georgia" w:hAnsi="Georgia"/>
          <w:sz w:val="20"/>
        </w:rPr>
      </w:pPr>
      <w:r w:rsidRPr="00912A6F">
        <w:rPr>
          <w:rFonts w:ascii="Georgia" w:hAnsi="Georgia"/>
          <w:sz w:val="20"/>
        </w:rPr>
        <w:t>Pases a las 12, 13 y 16 h</w:t>
      </w:r>
    </w:p>
    <w:p w:rsidR="002C558F" w:rsidRPr="00912A6F" w:rsidRDefault="002C558F" w:rsidP="002C558F">
      <w:pPr>
        <w:rPr>
          <w:rFonts w:ascii="Georgia" w:hAnsi="Georgia"/>
          <w:sz w:val="20"/>
        </w:rPr>
      </w:pPr>
      <w:r w:rsidRPr="00912A6F">
        <w:rPr>
          <w:rFonts w:ascii="Georgia" w:hAnsi="Georgia"/>
          <w:sz w:val="20"/>
        </w:rPr>
        <w:t>Duración aprox.: 20 min</w:t>
      </w:r>
    </w:p>
    <w:p w:rsidR="002C558F" w:rsidRPr="00912A6F" w:rsidRDefault="002C558F" w:rsidP="002C558F">
      <w:pPr>
        <w:rPr>
          <w:rFonts w:ascii="Georgia" w:hAnsi="Georgia"/>
          <w:sz w:val="20"/>
        </w:rPr>
      </w:pPr>
      <w:r w:rsidRPr="00912A6F">
        <w:rPr>
          <w:rFonts w:ascii="Georgia" w:hAnsi="Georgia"/>
          <w:sz w:val="20"/>
        </w:rPr>
        <w:t xml:space="preserve"> </w:t>
      </w:r>
    </w:p>
    <w:p w:rsidR="002C558F" w:rsidRPr="00912A6F" w:rsidRDefault="002C558F" w:rsidP="002C558F">
      <w:pPr>
        <w:rPr>
          <w:rFonts w:ascii="Georgia" w:hAnsi="Georgia"/>
          <w:sz w:val="20"/>
        </w:rPr>
      </w:pPr>
      <w:r w:rsidRPr="00912A6F">
        <w:rPr>
          <w:rFonts w:ascii="Georgia" w:hAnsi="Georgia"/>
          <w:sz w:val="20"/>
        </w:rPr>
        <w:t>J.S.Bach (1685-1750)</w:t>
      </w:r>
    </w:p>
    <w:p w:rsidR="002C558F" w:rsidRPr="00912A6F" w:rsidRDefault="002C558F" w:rsidP="002C558F">
      <w:pPr>
        <w:rPr>
          <w:rFonts w:ascii="Georgia" w:hAnsi="Georgia"/>
          <w:sz w:val="20"/>
        </w:rPr>
      </w:pPr>
      <w:r w:rsidRPr="00912A6F">
        <w:rPr>
          <w:rFonts w:ascii="Georgia" w:hAnsi="Georgia"/>
          <w:sz w:val="20"/>
        </w:rPr>
        <w:t xml:space="preserve">Preludio y Fuga en Si menor BWV893 </w:t>
      </w:r>
    </w:p>
    <w:p w:rsidR="002C558F" w:rsidRPr="00912A6F" w:rsidRDefault="002C558F" w:rsidP="002C558F">
      <w:pPr>
        <w:rPr>
          <w:rFonts w:ascii="Georgia" w:hAnsi="Georgia"/>
          <w:sz w:val="20"/>
        </w:rPr>
      </w:pPr>
      <w:r w:rsidRPr="00912A6F">
        <w:rPr>
          <w:rFonts w:ascii="Georgia" w:hAnsi="Georgia"/>
          <w:sz w:val="20"/>
        </w:rPr>
        <w:t xml:space="preserve"> </w:t>
      </w:r>
    </w:p>
    <w:p w:rsidR="002C558F" w:rsidRPr="00912A6F" w:rsidRDefault="002C558F" w:rsidP="002C558F">
      <w:pPr>
        <w:rPr>
          <w:rFonts w:ascii="Georgia" w:hAnsi="Georgia"/>
          <w:sz w:val="20"/>
        </w:rPr>
      </w:pPr>
      <w:r w:rsidRPr="00912A6F">
        <w:rPr>
          <w:rFonts w:ascii="Georgia" w:hAnsi="Georgia"/>
          <w:sz w:val="20"/>
        </w:rPr>
        <w:t>W.A.Mozart (1756- 1791)</w:t>
      </w:r>
    </w:p>
    <w:p w:rsidR="002C558F" w:rsidRPr="00912A6F" w:rsidRDefault="002C558F" w:rsidP="002C558F">
      <w:pPr>
        <w:rPr>
          <w:rFonts w:ascii="Georgia" w:hAnsi="Georgia"/>
          <w:sz w:val="20"/>
        </w:rPr>
      </w:pPr>
      <w:r w:rsidRPr="00912A6F">
        <w:rPr>
          <w:rFonts w:ascii="Georgia" w:hAnsi="Georgia"/>
          <w:sz w:val="20"/>
        </w:rPr>
        <w:t>Sonata No.17 en Si bemol major KV570</w:t>
      </w:r>
    </w:p>
    <w:p w:rsidR="002C558F" w:rsidRDefault="002C558F" w:rsidP="002C558F">
      <w:pPr>
        <w:rPr>
          <w:rFonts w:ascii="Georgia" w:hAnsi="Georgia"/>
          <w:sz w:val="20"/>
        </w:rPr>
      </w:pPr>
    </w:p>
    <w:p w:rsidR="002C558F" w:rsidRPr="00047DE6" w:rsidRDefault="002C558F" w:rsidP="002C558F">
      <w:pPr>
        <w:pStyle w:val="NormalWeb"/>
        <w:shd w:val="clear" w:color="auto" w:fill="FFFFFF"/>
        <w:spacing w:before="0" w:beforeAutospacing="0" w:after="0" w:afterAutospacing="0"/>
        <w:textAlignment w:val="baseline"/>
        <w:rPr>
          <w:rFonts w:ascii="Georgia" w:hAnsi="Georgia"/>
          <w:b/>
          <w:bCs/>
          <w:color w:val="000000" w:themeColor="text1"/>
          <w:sz w:val="18"/>
          <w:szCs w:val="18"/>
          <w:lang w:val="es-ES_tradnl"/>
        </w:rPr>
      </w:pPr>
      <w:r w:rsidRPr="00047DE6">
        <w:rPr>
          <w:rFonts w:ascii="Georgia" w:hAnsi="Georgia"/>
          <w:b/>
          <w:bCs/>
          <w:color w:val="000000" w:themeColor="text1"/>
          <w:sz w:val="18"/>
          <w:szCs w:val="18"/>
          <w:lang w:val="es-ES_tradnl"/>
        </w:rPr>
        <w:t xml:space="preserve">Descarga de información </w:t>
      </w:r>
    </w:p>
    <w:p w:rsidR="002C558F" w:rsidRDefault="002C558F" w:rsidP="002C558F">
      <w:pPr>
        <w:rPr>
          <w:rFonts w:ascii="Georgia" w:hAnsi="Georgia"/>
          <w:sz w:val="20"/>
        </w:rPr>
      </w:pPr>
      <w:hyperlink r:id="rId7" w:history="1">
        <w:r w:rsidRPr="00047DE6">
          <w:rPr>
            <w:rStyle w:val="Hipervnculo"/>
            <w:rFonts w:ascii="Georgia" w:hAnsi="Georgia"/>
            <w:sz w:val="18"/>
            <w:szCs w:val="18"/>
          </w:rPr>
          <w:t>https://www.museodelprado.es/museo/acceso-profesionales</w:t>
        </w:r>
      </w:hyperlink>
    </w:p>
    <w:p w:rsidR="004565B9" w:rsidRDefault="004565B9"/>
    <w:sectPr w:rsidR="004565B9" w:rsidSect="004A3058">
      <w:headerReference w:type="even" r:id="rId8"/>
      <w:headerReference w:type="default" r:id="rId9"/>
      <w:footerReference w:type="even" r:id="rId10"/>
      <w:footerReference w:type="default" r:id="rId11"/>
      <w:headerReference w:type="first" r:id="rId12"/>
      <w:footerReference w:type="first" r:id="rId13"/>
      <w:pgSz w:w="11906" w:h="16838" w:code="9"/>
      <w:pgMar w:top="3056" w:right="851" w:bottom="2835" w:left="3600" w:header="624" w:footer="0" w:gutter="0"/>
      <w:cols w:space="708"/>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558F" w:rsidRDefault="002C558F" w:rsidP="002C558F">
      <w:r>
        <w:separator/>
      </w:r>
    </w:p>
  </w:endnote>
  <w:endnote w:type="continuationSeparator" w:id="0">
    <w:p w:rsidR="002C558F" w:rsidRDefault="002C558F" w:rsidP="002C55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oeflerText-Roman">
    <w:altName w:val="Courier New"/>
    <w:charset w:val="00"/>
    <w:family w:val="auto"/>
    <w:pitch w:val="variable"/>
    <w:sig w:usb0="00000003" w:usb1="00000000" w:usb2="00000000" w:usb3="00000000" w:csb0="00000001" w:csb1="00000000"/>
  </w:font>
  <w:font w:name="Times">
    <w:panose1 w:val="02020603050405020304"/>
    <w:charset w:val="00"/>
    <w:family w:val="roman"/>
    <w:pitch w:val="variable"/>
    <w:sig w:usb0="20002A87" w:usb1="00000000" w:usb2="00000000"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Gotham-Book">
    <w:altName w:val="Century"/>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558F" w:rsidRDefault="002C558F">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1894" w:rsidRDefault="009C6C43">
    <w:pPr>
      <w:spacing w:line="160" w:lineRule="exact"/>
      <w:jc w:val="both"/>
      <w:rPr>
        <w:rFonts w:ascii="Arial" w:hAnsi="Arial"/>
        <w:sz w:val="13"/>
      </w:rPr>
    </w:pPr>
    <w:r>
      <w:rPr>
        <w:noProof/>
        <w:sz w:val="20"/>
        <w:lang w:val="es-ES"/>
      </w:rPr>
      <mc:AlternateContent>
        <mc:Choice Requires="wps">
          <w:drawing>
            <wp:anchor distT="0" distB="0" distL="114300" distR="114300" simplePos="0" relativeHeight="251660288" behindDoc="0" locked="0" layoutInCell="1" allowOverlap="1" wp14:anchorId="224AB8B8" wp14:editId="279D2404">
              <wp:simplePos x="0" y="0"/>
              <wp:positionH relativeFrom="column">
                <wp:posOffset>6271260</wp:posOffset>
              </wp:positionH>
              <wp:positionV relativeFrom="paragraph">
                <wp:posOffset>-377825</wp:posOffset>
              </wp:positionV>
              <wp:extent cx="342900" cy="228600"/>
              <wp:effectExtent l="0" t="0" r="1270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28600"/>
                      </a:xfrm>
                      <a:prstGeom prst="rect">
                        <a:avLst/>
                      </a:prstGeom>
                      <a:solidFill>
                        <a:srgbClr val="FFFFFF"/>
                      </a:solidFill>
                      <a:ln>
                        <a:noFill/>
                      </a:ln>
                      <a:extLst/>
                    </wps:spPr>
                    <wps:txbx>
                      <w:txbxContent>
                        <w:p w:rsidR="00A51894" w:rsidRDefault="009C6C43">
                          <w:pPr>
                            <w:jc w:val="right"/>
                            <w:rPr>
                              <w:rFonts w:ascii="Garamond" w:hAnsi="Garamond"/>
                              <w:sz w:val="16"/>
                            </w:rPr>
                          </w:pPr>
                          <w:r>
                            <w:rPr>
                              <w:rStyle w:val="Nmerodepgina"/>
                              <w:rFonts w:ascii="Garamond" w:hAnsi="Garamond"/>
                              <w:sz w:val="16"/>
                            </w:rPr>
                            <w:fldChar w:fldCharType="begin"/>
                          </w:r>
                          <w:r>
                            <w:rPr>
                              <w:rStyle w:val="Nmerodepgina"/>
                              <w:rFonts w:ascii="Garamond" w:hAnsi="Garamond"/>
                              <w:sz w:val="16"/>
                            </w:rPr>
                            <w:instrText xml:space="preserve"> PAGE </w:instrText>
                          </w:r>
                          <w:r>
                            <w:rPr>
                              <w:rStyle w:val="Nmerodepgina"/>
                              <w:rFonts w:ascii="Garamond" w:hAnsi="Garamond"/>
                              <w:sz w:val="16"/>
                            </w:rPr>
                            <w:fldChar w:fldCharType="separate"/>
                          </w:r>
                          <w:r>
                            <w:rPr>
                              <w:rStyle w:val="Nmerodepgina"/>
                              <w:rFonts w:ascii="Garamond" w:hAnsi="Garamond"/>
                              <w:noProof/>
                              <w:sz w:val="16"/>
                            </w:rPr>
                            <w:t>1</w:t>
                          </w:r>
                          <w:r>
                            <w:rPr>
                              <w:rStyle w:val="Nmerodepgina"/>
                              <w:rFonts w:ascii="Garamond" w:hAnsi="Garamond"/>
                              <w:sz w:val="16"/>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224AB8B8" id="_x0000_t202" coordsize="21600,21600" o:spt="202" path="m,l,21600r21600,l21600,xe">
              <v:stroke joinstyle="miter"/>
              <v:path gradientshapeok="t" o:connecttype="rect"/>
            </v:shapetype>
            <v:shape id="Text Box 4" o:spid="_x0000_s1026" type="#_x0000_t202" style="position:absolute;left:0;text-align:left;margin-left:493.8pt;margin-top:-29.75pt;width:27pt;height: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Yknxo8gEAAM8DAAAOAAAAZHJzL2Uyb0RvYy54bWysU8Fu2zAMvQ/YPwi6L068oOiMOMWWIsOA bivQ7gNkWbaFyaJGKbGzrx8lx2nX3ob5IFAU+chHPm9uxt6wo0KvwZZ8tVhypqyEWtu25D8e9++u OfNB2FoYsKrkJ+X5zfbtm83gCpVDB6ZWyAjE+mJwJe9CcEWWedmpXvgFOGXpsQHsRaArtlmNYiD0 3mT5cnmVDYC1Q5DKe/LeTo98m/CbRsnwvWm8CsyUnHoL6cR0VvHMthtRtChcp+W5DfEPXfRCWyp6 gboVQbAD6ldQvZYIHpqwkNBn0DRaqsSB2KyWL9g8dMKpxIWG491lTP7/wcpvx3tkui75mjMrelrR oxoD+wQjW8fpDM4XFPTgKCyM5KYtJ6be3YH86ZmFXSdsqz4iwtApUVN3q5iZPUudcHwEqYavUFMZ cQiQgMYG+zg6GgYjdNrS6bKZ2Iok5/t1/mFJL5Ke8vz6iuxYQRRzskMfPivoWTRKjrT4BC6Odz5M oXNIrOXB6HqvjUkXbKudQXYUJJJ9+s7of4UZG4MtxLQJcfJQj+cakXDkOLENYzVSXHRWUJ+IOsKk P/pfyOgAf3M2kPZK7n8dBCrOzBdL44tCnQ2cjWo2hJWUWvLA2WTuwiTog0PddoT8NH5STRrTWeFR ls/vaUlP/+H2DwAAAP//AwBQSwMEFAAGAAgAAAAhAENyfMvhAAAADAEAAA8AAABkcnMvZG93bnJl di54bWxMj8FuwjAMhu+T9g6RJ+0yQUq3Fuiaog3GbTvAEOfQmLZa41RJSsvbL5y2o39/+v05X426 ZRe0rjEkYDaNgCGVRjVUCTh8bycLYM5LUrI1hAKu6GBV3N/lMlNmoB1e9r5ioYRcJgXU3ncZ566s UUs3NR1S2J2N1dKH0VZcWTmEct3yOIpSrmVD4UItO1zXWP7sey0g3dh+2NH6aXP4+JRfXRUf369H IR4fxrdXYB5H/wfDTT+oQxGcTqYn5VgrYLmYpwEVMEmWCbAbEb3MQnQKUfycAC9y/v+J4hcAAP// AwBQSwECLQAUAAYACAAAACEAtoM4kv4AAADhAQAAEwAAAAAAAAAAAAAAAAAAAAAAW0NvbnRlbnRf VHlwZXNdLnhtbFBLAQItABQABgAIAAAAIQA4/SH/1gAAAJQBAAALAAAAAAAAAAAAAAAAAC8BAABf cmVscy8ucmVsc1BLAQItABQABgAIAAAAIQCYknxo8gEAAM8DAAAOAAAAAAAAAAAAAAAAAC4CAABk cnMvZTJvRG9jLnhtbFBLAQItABQABgAIAAAAIQBDcnzL4QAAAAwBAAAPAAAAAAAAAAAAAAAAAEwE AABkcnMvZG93bnJldi54bWxQSwUGAAAAAAQABADzAAAAWgUAAAAA " stroked="f">
              <v:textbox inset="0,0,0,0">
                <w:txbxContent>
                  <w:p w:rsidR="00A51894" w:rsidRDefault="009C6C43">
                    <w:pPr>
                      <w:jc w:val="right"/>
                      <w:rPr>
                        <w:rFonts w:ascii="Garamond" w:hAnsi="Garamond"/>
                        <w:sz w:val="16"/>
                      </w:rPr>
                    </w:pPr>
                    <w:r>
                      <w:rPr>
                        <w:rStyle w:val="Nmerodepgina"/>
                        <w:rFonts w:ascii="Garamond" w:hAnsi="Garamond"/>
                        <w:sz w:val="16"/>
                      </w:rPr>
                      <w:fldChar w:fldCharType="begin"/>
                    </w:r>
                    <w:r>
                      <w:rPr>
                        <w:rStyle w:val="Nmerodepgina"/>
                        <w:rFonts w:ascii="Garamond" w:hAnsi="Garamond"/>
                        <w:sz w:val="16"/>
                      </w:rPr>
                      <w:instrText xml:space="preserve"> PAGE </w:instrText>
                    </w:r>
                    <w:r>
                      <w:rPr>
                        <w:rStyle w:val="Nmerodepgina"/>
                        <w:rFonts w:ascii="Garamond" w:hAnsi="Garamond"/>
                        <w:sz w:val="16"/>
                      </w:rPr>
                      <w:fldChar w:fldCharType="separate"/>
                    </w:r>
                    <w:r>
                      <w:rPr>
                        <w:rStyle w:val="Nmerodepgina"/>
                        <w:rFonts w:ascii="Garamond" w:hAnsi="Garamond"/>
                        <w:noProof/>
                        <w:sz w:val="16"/>
                      </w:rPr>
                      <w:t>1</w:t>
                    </w:r>
                    <w:r>
                      <w:rPr>
                        <w:rStyle w:val="Nmerodepgina"/>
                        <w:rFonts w:ascii="Garamond" w:hAnsi="Garamond"/>
                        <w:sz w:val="16"/>
                      </w:rPr>
                      <w:fldChar w:fldCharType="end"/>
                    </w:r>
                  </w:p>
                </w:txbxContent>
              </v:textbox>
            </v:shape>
          </w:pict>
        </mc:Fallback>
      </mc:AlternateContent>
    </w:r>
  </w:p>
  <w:p w:rsidR="00A51894" w:rsidRPr="00735302" w:rsidRDefault="009C6C43" w:rsidP="00B9205B">
    <w:pPr>
      <w:ind w:left="-3119"/>
      <w:jc w:val="right"/>
      <w:rPr>
        <w:rFonts w:ascii="Georgia" w:hAnsi="Georgia"/>
        <w:sz w:val="20"/>
      </w:rPr>
    </w:pPr>
    <w:r>
      <w:fldChar w:fldCharType="begin"/>
    </w:r>
    <w:r>
      <w:instrText xml:space="preserve"> PAGE   \* MERGEFORMAT </w:instrText>
    </w:r>
    <w:r>
      <w:fldChar w:fldCharType="separate"/>
    </w:r>
    <w:r w:rsidRPr="009C6C43">
      <w:rPr>
        <w:rFonts w:ascii="Georgia" w:hAnsi="Georgia"/>
        <w:noProof/>
        <w:sz w:val="20"/>
      </w:rPr>
      <w:t>1</w:t>
    </w:r>
    <w:r>
      <w:rPr>
        <w:rFonts w:ascii="Georgia" w:hAnsi="Georgia"/>
        <w:noProof/>
        <w:sz w:val="20"/>
      </w:rPr>
      <w:fldChar w:fldCharType="end"/>
    </w:r>
  </w:p>
  <w:p w:rsidR="00A51894" w:rsidRPr="00633FD0" w:rsidRDefault="009C6C43"/>
  <w:p w:rsidR="00A51894" w:rsidRDefault="009C6C43"/>
  <w:p w:rsidR="00A51894" w:rsidRDefault="009C6C43">
    <w:pPr>
      <w:pStyle w:val="Piedepgina"/>
      <w:rPr>
        <w:sz w:val="16"/>
      </w:rPr>
    </w:pPr>
  </w:p>
  <w:p w:rsidR="00A51894" w:rsidRDefault="009C6C43">
    <w:pPr>
      <w:pStyle w:val="Piedepgina"/>
      <w:ind w:hanging="3119"/>
      <w:rPr>
        <w:rFonts w:ascii="Gotham-Book" w:hAnsi="Gotham-Book"/>
        <w:color w:val="4C4C4C"/>
        <w:sz w:val="13"/>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558F" w:rsidRDefault="002C558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558F" w:rsidRDefault="002C558F" w:rsidP="002C558F">
      <w:r>
        <w:separator/>
      </w:r>
    </w:p>
  </w:footnote>
  <w:footnote w:type="continuationSeparator" w:id="0">
    <w:p w:rsidR="002C558F" w:rsidRDefault="002C558F" w:rsidP="002C55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558F" w:rsidRDefault="002C558F">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1894" w:rsidRDefault="009C6C43" w:rsidP="009C6C43">
    <w:pPr>
      <w:pStyle w:val="Encabezado"/>
      <w:tabs>
        <w:tab w:val="clear" w:pos="4252"/>
        <w:tab w:val="clear" w:pos="8504"/>
        <w:tab w:val="right" w:pos="7455"/>
      </w:tabs>
      <w:ind w:left="-3033"/>
      <w:rPr>
        <w:sz w:val="40"/>
        <w:lang w:val="en-GB"/>
      </w:rPr>
    </w:pPr>
    <w:r>
      <w:rPr>
        <w:noProof/>
        <w:sz w:val="40"/>
        <w:lang w:val="es-ES"/>
      </w:rPr>
      <w:drawing>
        <wp:anchor distT="0" distB="0" distL="114300" distR="114300" simplePos="0" relativeHeight="251663360" behindDoc="0" locked="0" layoutInCell="1" allowOverlap="1" wp14:anchorId="6AE9E3F1" wp14:editId="29DA804D">
          <wp:simplePos x="0" y="0"/>
          <wp:positionH relativeFrom="column">
            <wp:posOffset>3141878</wp:posOffset>
          </wp:positionH>
          <wp:positionV relativeFrom="paragraph">
            <wp:posOffset>39573</wp:posOffset>
          </wp:positionV>
          <wp:extent cx="1447800" cy="476250"/>
          <wp:effectExtent l="0" t="0" r="0" b="0"/>
          <wp:wrapSquare wrapText="bothSides"/>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7800" cy="476250"/>
                  </a:xfrm>
                  <a:prstGeom prst="rect">
                    <a:avLst/>
                  </a:prstGeom>
                  <a:noFill/>
                </pic:spPr>
              </pic:pic>
            </a:graphicData>
          </a:graphic>
          <wp14:sizeRelH relativeFrom="page">
            <wp14:pctWidth>0</wp14:pctWidth>
          </wp14:sizeRelH>
          <wp14:sizeRelV relativeFrom="page">
            <wp14:pctHeight>0</wp14:pctHeight>
          </wp14:sizeRelV>
        </wp:anchor>
      </w:drawing>
    </w:r>
    <w:r w:rsidRPr="001058B0">
      <w:rPr>
        <w:noProof/>
        <w:sz w:val="40"/>
        <w:lang w:val="es-ES"/>
      </w:rPr>
      <w:drawing>
        <wp:inline distT="0" distB="0" distL="0" distR="0" wp14:anchorId="4D6AEE1A" wp14:editId="1A3D434C">
          <wp:extent cx="1325033" cy="241729"/>
          <wp:effectExtent l="25400" t="0" r="0" b="0"/>
          <wp:docPr id="14" name="Imagen 1" descr="logopr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rado"/>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329280" cy="242504"/>
                  </a:xfrm>
                  <a:prstGeom prst="rect">
                    <a:avLst/>
                  </a:prstGeom>
                  <a:noFill/>
                  <a:ln>
                    <a:noFill/>
                  </a:ln>
                </pic:spPr>
              </pic:pic>
            </a:graphicData>
          </a:graphic>
        </wp:inline>
      </w:drawing>
    </w:r>
    <w:r>
      <w:rPr>
        <w:sz w:val="40"/>
        <w:lang w:val="en-GB"/>
      </w:rPr>
      <w:tab/>
    </w:r>
  </w:p>
  <w:p w:rsidR="00A51894" w:rsidRDefault="009C6C43" w:rsidP="00F24E9F">
    <w:pPr>
      <w:pStyle w:val="Encabezado"/>
      <w:ind w:left="-3033"/>
      <w:rPr>
        <w:sz w:val="40"/>
        <w:lang w:val="en-GB"/>
      </w:rPr>
    </w:pPr>
  </w:p>
  <w:p w:rsidR="00A51894" w:rsidRPr="00540D69" w:rsidRDefault="009C6C43" w:rsidP="00F24E9F">
    <w:pPr>
      <w:pStyle w:val="Encabezado"/>
      <w:ind w:left="-3033"/>
      <w:rPr>
        <w:sz w:val="20"/>
        <w:lang w:val="es-ES"/>
      </w:rPr>
    </w:pPr>
    <w:bookmarkStart w:id="0" w:name="_GoBack"/>
    <w:bookmarkEnd w:id="0"/>
    <w:r w:rsidRPr="00540D69">
      <w:rPr>
        <w:sz w:val="20"/>
        <w:lang w:val="es-ES"/>
      </w:rPr>
      <w:drawing>
        <wp:anchor distT="0" distB="0" distL="114935" distR="114935" simplePos="0" relativeHeight="251661312" behindDoc="0" locked="0" layoutInCell="1" allowOverlap="1" wp14:anchorId="46C19EEB" wp14:editId="0CFA666E">
          <wp:simplePos x="0" y="0"/>
          <wp:positionH relativeFrom="column">
            <wp:posOffset>0</wp:posOffset>
          </wp:positionH>
          <wp:positionV relativeFrom="paragraph">
            <wp:posOffset>185420</wp:posOffset>
          </wp:positionV>
          <wp:extent cx="1039495" cy="118110"/>
          <wp:effectExtent l="25400" t="0" r="1905" b="0"/>
          <wp:wrapSquare wrapText="bothSides"/>
          <wp:docPr id="26" name="Imagen 26" descr="Nota_Prens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ta_Prensa.jpg"/>
                  <pic:cNvPicPr/>
                </pic:nvPicPr>
                <pic:blipFill>
                  <a:blip r:embed="rId3"/>
                  <a:stretch>
                    <a:fillRect/>
                  </a:stretch>
                </pic:blipFill>
                <pic:spPr>
                  <a:xfrm>
                    <a:off x="0" y="0"/>
                    <a:ext cx="1039495" cy="11811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1894" w:rsidRDefault="009C6C43">
    <w:pPr>
      <w:pStyle w:val="Encabezado"/>
      <w:tabs>
        <w:tab w:val="clear" w:pos="4252"/>
        <w:tab w:val="clear" w:pos="8504"/>
        <w:tab w:val="right" w:pos="7369"/>
      </w:tabs>
      <w:ind w:left="-3033"/>
    </w:pPr>
    <w:r>
      <w:rPr>
        <w:noProof/>
        <w:lang w:val="es-ES"/>
      </w:rPr>
      <w:drawing>
        <wp:inline distT="0" distB="0" distL="0" distR="0" wp14:anchorId="527B77A2" wp14:editId="65A954F2">
          <wp:extent cx="1371600" cy="257175"/>
          <wp:effectExtent l="0" t="0" r="0" b="0"/>
          <wp:docPr id="2" name="Imagen 2" descr="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71600" cy="257175"/>
                  </a:xfrm>
                  <a:prstGeom prst="rect">
                    <a:avLst/>
                  </a:prstGeom>
                  <a:noFill/>
                  <a:ln>
                    <a:noFill/>
                  </a:ln>
                </pic:spPr>
              </pic:pic>
            </a:graphicData>
          </a:graphic>
        </wp:inline>
      </w:drawing>
    </w:r>
    <w:r>
      <w:rPr>
        <w:lang w:val="en-GB"/>
      </w:rPr>
      <w:tab/>
    </w:r>
    <w:r w:rsidRPr="00D760EC">
      <w:rPr>
        <w:noProof/>
        <w:lang w:val="es-ES"/>
      </w:rPr>
      <w:drawing>
        <wp:anchor distT="0" distB="0" distL="114300" distR="114300" simplePos="0" relativeHeight="251659264" behindDoc="0" locked="0" layoutInCell="1" allowOverlap="1" wp14:anchorId="2C2CB29D" wp14:editId="49CCFDB0">
          <wp:simplePos x="0" y="0"/>
          <wp:positionH relativeFrom="column">
            <wp:posOffset>3283585</wp:posOffset>
          </wp:positionH>
          <wp:positionV relativeFrom="paragraph">
            <wp:posOffset>3810</wp:posOffset>
          </wp:positionV>
          <wp:extent cx="1392555" cy="233680"/>
          <wp:effectExtent l="0" t="0" r="0" b="0"/>
          <wp:wrapSquare wrapText="bothSides"/>
          <wp:docPr id="3" name="Imagen 1" descr="NOTA DE PREN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TA DE PRENSA"/>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392555" cy="233680"/>
                  </a:xfrm>
                  <a:prstGeom prst="rect">
                    <a:avLst/>
                  </a:prstGeom>
                  <a:noFill/>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revisionView w:inkAnnotations="0"/>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558F"/>
    <w:rsid w:val="002C558F"/>
    <w:rsid w:val="004565B9"/>
    <w:rsid w:val="009C6C4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A1DC44A6-ADAD-4655-928E-970A6EFE3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558F"/>
    <w:pPr>
      <w:spacing w:after="0" w:line="240" w:lineRule="auto"/>
    </w:pPr>
    <w:rPr>
      <w:rFonts w:ascii="HoeflerText-Roman" w:eastAsia="Times" w:hAnsi="HoeflerText-Roman" w:cs="Times New Roman"/>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2C558F"/>
    <w:pPr>
      <w:tabs>
        <w:tab w:val="center" w:pos="4252"/>
        <w:tab w:val="right" w:pos="8504"/>
      </w:tabs>
    </w:pPr>
  </w:style>
  <w:style w:type="character" w:customStyle="1" w:styleId="EncabezadoCar">
    <w:name w:val="Encabezado Car"/>
    <w:basedOn w:val="Fuentedeprrafopredeter"/>
    <w:link w:val="Encabezado"/>
    <w:rsid w:val="002C558F"/>
    <w:rPr>
      <w:rFonts w:ascii="HoeflerText-Roman" w:eastAsia="Times" w:hAnsi="HoeflerText-Roman" w:cs="Times New Roman"/>
      <w:szCs w:val="20"/>
      <w:lang w:val="es-ES_tradnl" w:eastAsia="es-ES"/>
    </w:rPr>
  </w:style>
  <w:style w:type="paragraph" w:styleId="Piedepgina">
    <w:name w:val="footer"/>
    <w:basedOn w:val="Normal"/>
    <w:link w:val="PiedepginaCar"/>
    <w:uiPriority w:val="99"/>
    <w:rsid w:val="002C558F"/>
    <w:pPr>
      <w:tabs>
        <w:tab w:val="center" w:pos="4252"/>
        <w:tab w:val="right" w:pos="8504"/>
      </w:tabs>
    </w:pPr>
  </w:style>
  <w:style w:type="character" w:customStyle="1" w:styleId="PiedepginaCar">
    <w:name w:val="Pie de página Car"/>
    <w:basedOn w:val="Fuentedeprrafopredeter"/>
    <w:link w:val="Piedepgina"/>
    <w:uiPriority w:val="99"/>
    <w:rsid w:val="002C558F"/>
    <w:rPr>
      <w:rFonts w:ascii="HoeflerText-Roman" w:eastAsia="Times" w:hAnsi="HoeflerText-Roman" w:cs="Times New Roman"/>
      <w:szCs w:val="20"/>
      <w:lang w:val="es-ES_tradnl" w:eastAsia="es-ES"/>
    </w:rPr>
  </w:style>
  <w:style w:type="character" w:styleId="Nmerodepgina">
    <w:name w:val="page number"/>
    <w:basedOn w:val="Fuentedeprrafopredeter"/>
    <w:rsid w:val="002C558F"/>
  </w:style>
  <w:style w:type="character" w:styleId="Hipervnculo">
    <w:name w:val="Hyperlink"/>
    <w:rsid w:val="002C558F"/>
    <w:rPr>
      <w:color w:val="0000FF"/>
      <w:u w:val="single"/>
    </w:rPr>
  </w:style>
  <w:style w:type="paragraph" w:styleId="NormalWeb">
    <w:name w:val="Normal (Web)"/>
    <w:basedOn w:val="Normal"/>
    <w:uiPriority w:val="99"/>
    <w:unhideWhenUsed/>
    <w:rsid w:val="002C558F"/>
    <w:pPr>
      <w:spacing w:before="100" w:beforeAutospacing="1" w:after="100" w:afterAutospacing="1"/>
    </w:pPr>
    <w:rPr>
      <w:rFonts w:ascii="Times New Roman" w:eastAsia="Times New Roman" w:hAnsi="Times New Roman"/>
      <w:sz w:val="24"/>
      <w:szCs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footer1.xml" Type="http://schemas.openxmlformats.org/officeDocument/2006/relationships/footer"/><Relationship Id="rId11" Target="footer2.xml" Type="http://schemas.openxmlformats.org/officeDocument/2006/relationships/footer"/><Relationship Id="rId12" Target="header3.xml" Type="http://schemas.openxmlformats.org/officeDocument/2006/relationships/header"/><Relationship Id="rId13" Target="footer3.xml" Type="http://schemas.openxmlformats.org/officeDocument/2006/relationships/footer"/><Relationship Id="rId14" Target="fontTable.xml" Type="http://schemas.openxmlformats.org/officeDocument/2006/relationships/fontTable"/><Relationship Id="rId15"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ttps://www.museodelprado.es/museo/acceso-profesionales" TargetMode="External" Type="http://schemas.openxmlformats.org/officeDocument/2006/relationships/hyperlink"/><Relationship Id="rId8" Target="header1.xml" Type="http://schemas.openxmlformats.org/officeDocument/2006/relationships/header"/><Relationship Id="rId9" Target="header2.xml" Type="http://schemas.openxmlformats.org/officeDocument/2006/relationships/header"/></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 Id="rId2" Target="media/image2.png" Type="http://schemas.openxmlformats.org/officeDocument/2006/relationships/image"/><Relationship Id="rId3"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4.wmf" Type="http://schemas.openxmlformats.org/officeDocument/2006/relationships/image"/><Relationship Id="rId2" Target="media/image5.png" Type="http://schemas.openxmlformats.org/officeDocument/2006/relationships/image"/></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1F95CD-407C-492A-A1FA-B55A75D122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
  <TotalTime>1</TotalTime>
  <Pages>2</Pages>
  <Words>830</Words>
  <Characters>4571</Characters>
  <Application>Microsoft Office Word</Application>
  <DocSecurity>0</DocSecurity>
  <Lines>38</Lines>
  <Paragraphs>10</Paragraphs>
  <ScaleCrop>false</ScaleCrop>
  <Company/>
  <LinksUpToDate>false</LinksUpToDate>
  <CharactersWithSpaces>5391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2023-05-18T12:27:00Z</dcterms:created>
  <dcterms:modified xsi:type="dcterms:W3CDTF">2023-05-18T12:28:00Z</dcterms:modified>
  <cp:revision>2</cp:revision>
</cp:coreProperties>
</file>