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BA13B9" w14:textId="77777777" w:rsidR="002D141F" w:rsidRDefault="00877436">
      <w:pPr>
        <w:pStyle w:val="Ttulo1"/>
        <w:spacing w:before="480"/>
        <w:rPr>
          <w:rStyle w:val="Ninguno"/>
          <w:b/>
          <w:bCs/>
          <w:color w:val="008000"/>
          <w:sz w:val="28"/>
          <w:szCs w:val="28"/>
          <w:u w:color="008000"/>
          <w:lang w:val="es-ES_tradnl"/>
        </w:rPr>
      </w:pPr>
      <w:r>
        <w:rPr>
          <w:rStyle w:val="Ninguno"/>
          <w:b/>
          <w:bCs/>
          <w:color w:val="008000"/>
          <w:sz w:val="28"/>
          <w:szCs w:val="28"/>
          <w:u w:color="008000"/>
          <w:lang w:val="es-ES_tradnl"/>
        </w:rPr>
        <w:t>Comunicado de prensa</w:t>
      </w:r>
    </w:p>
    <w:p w14:paraId="00073986" w14:textId="54226F26" w:rsidR="00EA7DCF" w:rsidRPr="009418C4" w:rsidRDefault="008B6C95" w:rsidP="002D1F9F">
      <w:pPr>
        <w:pStyle w:val="Ttulo3"/>
        <w:spacing w:after="0" w:line="276" w:lineRule="auto"/>
        <w:rPr>
          <w:rStyle w:val="Ninguno"/>
          <w:color w:val="008000"/>
          <w:spacing w:val="0"/>
          <w:sz w:val="36"/>
          <w:szCs w:val="36"/>
          <w:u w:color="008000"/>
          <w:lang w:val="es-ES_tradnl"/>
        </w:rPr>
      </w:pPr>
      <w:r w:rsidRPr="009418C4">
        <w:rPr>
          <w:rStyle w:val="Ninguno"/>
          <w:color w:val="008000"/>
          <w:spacing w:val="0"/>
          <w:sz w:val="36"/>
          <w:szCs w:val="36"/>
          <w:u w:color="008000"/>
          <w:lang w:val="es-ES_tradnl"/>
        </w:rPr>
        <w:t xml:space="preserve">El Corte Inglés </w:t>
      </w:r>
      <w:r>
        <w:rPr>
          <w:rStyle w:val="Ninguno"/>
          <w:color w:val="008000"/>
          <w:spacing w:val="0"/>
          <w:sz w:val="36"/>
          <w:szCs w:val="36"/>
          <w:u w:color="008000"/>
          <w:lang w:val="es-ES_tradnl"/>
        </w:rPr>
        <w:t xml:space="preserve">acoge </w:t>
      </w:r>
      <w:r w:rsidR="00EB4986">
        <w:rPr>
          <w:rStyle w:val="Ninguno"/>
          <w:color w:val="008000"/>
          <w:spacing w:val="0"/>
          <w:sz w:val="36"/>
          <w:szCs w:val="36"/>
          <w:u w:color="008000"/>
          <w:lang w:val="es-ES_tradnl"/>
        </w:rPr>
        <w:t xml:space="preserve">en la Galería de Arte María Porto, </w:t>
      </w:r>
      <w:r>
        <w:rPr>
          <w:rStyle w:val="Ninguno"/>
          <w:color w:val="008000"/>
          <w:spacing w:val="0"/>
          <w:sz w:val="36"/>
          <w:szCs w:val="36"/>
          <w:u w:color="008000"/>
          <w:lang w:val="es-ES_tradnl"/>
        </w:rPr>
        <w:t>“</w:t>
      </w:r>
      <w:r w:rsidR="00EB4986">
        <w:rPr>
          <w:rStyle w:val="Ninguno"/>
          <w:color w:val="008000"/>
          <w:spacing w:val="0"/>
          <w:sz w:val="36"/>
          <w:szCs w:val="36"/>
          <w:u w:color="008000"/>
          <w:lang w:val="es-ES_tradnl"/>
        </w:rPr>
        <w:t>Glimmer and remnants</w:t>
      </w:r>
      <w:r>
        <w:rPr>
          <w:rStyle w:val="Ninguno"/>
          <w:color w:val="008000"/>
          <w:spacing w:val="0"/>
          <w:sz w:val="36"/>
          <w:szCs w:val="36"/>
          <w:u w:color="008000"/>
          <w:lang w:val="es-ES_tradnl"/>
        </w:rPr>
        <w:t>”</w:t>
      </w:r>
      <w:r w:rsidR="00EB4986">
        <w:rPr>
          <w:rStyle w:val="Ninguno"/>
          <w:color w:val="008000"/>
          <w:spacing w:val="0"/>
          <w:sz w:val="36"/>
          <w:szCs w:val="36"/>
          <w:u w:color="008000"/>
          <w:lang w:val="es-ES_tradnl"/>
        </w:rPr>
        <w:t xml:space="preserve">, de Julia San Román </w:t>
      </w:r>
    </w:p>
    <w:p w14:paraId="0DB57185" w14:textId="77777777" w:rsidR="00500390" w:rsidRDefault="00500390" w:rsidP="008B6C95">
      <w:pPr>
        <w:spacing w:line="360" w:lineRule="auto"/>
        <w:rPr>
          <w:rStyle w:val="Ninguno"/>
          <w:color w:val="008000"/>
          <w:sz w:val="20"/>
          <w:szCs w:val="20"/>
          <w:lang w:val="es-ES_tradnl"/>
        </w:rPr>
      </w:pPr>
    </w:p>
    <w:p w14:paraId="509C2F78" w14:textId="47D8E53C" w:rsidR="00EB4986" w:rsidRDefault="005253CC" w:rsidP="00EB4986">
      <w:pPr>
        <w:pStyle w:val="Prrafodelista"/>
        <w:numPr>
          <w:ilvl w:val="0"/>
          <w:numId w:val="4"/>
        </w:numPr>
        <w:spacing w:line="360" w:lineRule="auto"/>
        <w:rPr>
          <w:rStyle w:val="Ninguno"/>
          <w:rFonts w:eastAsia="Arial Unicode MS" w:cs="Arial Unicode MS"/>
          <w:i/>
          <w:iCs/>
          <w:color w:val="008000"/>
          <w:sz w:val="20"/>
          <w:szCs w:val="20"/>
          <w:u w:color="008000"/>
          <w:lang w:val="es-ES_tradnl"/>
        </w:rPr>
      </w:pPr>
      <w:r w:rsidRPr="000906C0">
        <w:rPr>
          <w:rStyle w:val="Ninguno"/>
          <w:rFonts w:eastAsia="Arial Unicode MS" w:cs="Arial Unicode MS"/>
          <w:i/>
          <w:iCs/>
          <w:color w:val="008000"/>
          <w:sz w:val="20"/>
          <w:szCs w:val="20"/>
          <w:u w:color="008000"/>
          <w:lang w:val="es-ES_tradnl"/>
        </w:rPr>
        <w:t xml:space="preserve">La muestra expone </w:t>
      </w:r>
      <w:r w:rsidR="00A8546E">
        <w:rPr>
          <w:rStyle w:val="Ninguno"/>
          <w:rFonts w:eastAsia="Arial Unicode MS" w:cs="Arial Unicode MS"/>
          <w:i/>
          <w:iCs/>
          <w:color w:val="008000"/>
          <w:sz w:val="20"/>
          <w:szCs w:val="20"/>
          <w:u w:color="008000"/>
          <w:lang w:val="es-ES_tradnl"/>
        </w:rPr>
        <w:t>dos series pictóricas</w:t>
      </w:r>
      <w:r w:rsidR="00891548">
        <w:rPr>
          <w:rStyle w:val="Ninguno"/>
          <w:rFonts w:eastAsia="Arial Unicode MS" w:cs="Arial Unicode MS"/>
          <w:i/>
          <w:iCs/>
          <w:color w:val="008000"/>
          <w:sz w:val="20"/>
          <w:szCs w:val="20"/>
          <w:u w:color="008000"/>
          <w:lang w:val="es-ES_tradnl"/>
        </w:rPr>
        <w:t>, que están inspiradas en obras anteriores de la artista, y en las que el elemento protagonista es la luz</w:t>
      </w:r>
      <w:r w:rsidRPr="000906C0">
        <w:rPr>
          <w:rStyle w:val="Ninguno"/>
          <w:rFonts w:eastAsia="Arial Unicode MS" w:cs="Arial Unicode MS"/>
          <w:i/>
          <w:iCs/>
          <w:color w:val="008000"/>
          <w:sz w:val="20"/>
          <w:szCs w:val="20"/>
          <w:u w:color="008000"/>
          <w:lang w:val="es-ES_tradnl"/>
        </w:rPr>
        <w:t>.</w:t>
      </w:r>
    </w:p>
    <w:p w14:paraId="23A147FC" w14:textId="39618A1B" w:rsidR="002D1F9F" w:rsidRPr="00EB4986" w:rsidRDefault="00EB4986" w:rsidP="00EB4986">
      <w:pPr>
        <w:pStyle w:val="Prrafodelista"/>
        <w:numPr>
          <w:ilvl w:val="0"/>
          <w:numId w:val="4"/>
        </w:numPr>
        <w:spacing w:line="360" w:lineRule="auto"/>
        <w:rPr>
          <w:rFonts w:eastAsia="Arial Unicode MS" w:cs="Arial Unicode MS"/>
          <w:i/>
          <w:iCs/>
          <w:color w:val="008000"/>
          <w:sz w:val="20"/>
          <w:szCs w:val="20"/>
          <w:u w:color="008000"/>
          <w:lang w:val="es-ES_tradnl"/>
        </w:rPr>
      </w:pPr>
      <w:r w:rsidRPr="00EB4986">
        <w:rPr>
          <w:rStyle w:val="Ninguno"/>
          <w:rFonts w:eastAsia="Arial Unicode MS" w:cs="Arial Unicode MS"/>
          <w:i/>
          <w:iCs/>
          <w:color w:val="008000"/>
          <w:sz w:val="20"/>
          <w:szCs w:val="20"/>
          <w:u w:color="008000"/>
          <w:lang w:val="es-ES_tradnl"/>
        </w:rPr>
        <w:t xml:space="preserve">La Galería María Porto, acogerá, desde </w:t>
      </w:r>
      <w:r w:rsidR="00891548">
        <w:rPr>
          <w:rStyle w:val="Ninguno"/>
          <w:rFonts w:eastAsia="Arial Unicode MS" w:cs="Arial Unicode MS"/>
          <w:i/>
          <w:iCs/>
          <w:color w:val="008000"/>
          <w:sz w:val="20"/>
          <w:szCs w:val="20"/>
          <w:u w:color="008000"/>
          <w:lang w:val="es-ES_tradnl"/>
        </w:rPr>
        <w:t>mañana,</w:t>
      </w:r>
      <w:r w:rsidRPr="00EB4986">
        <w:rPr>
          <w:rStyle w:val="Ninguno"/>
          <w:rFonts w:eastAsia="Arial Unicode MS" w:cs="Arial Unicode MS"/>
          <w:i/>
          <w:iCs/>
          <w:color w:val="008000"/>
          <w:sz w:val="20"/>
          <w:szCs w:val="20"/>
          <w:u w:color="008000"/>
          <w:lang w:val="es-ES_tradnl"/>
        </w:rPr>
        <w:t xml:space="preserve"> 18 de abril</w:t>
      </w:r>
      <w:r w:rsidR="00891548">
        <w:rPr>
          <w:rStyle w:val="Ninguno"/>
          <w:rFonts w:eastAsia="Arial Unicode MS" w:cs="Arial Unicode MS"/>
          <w:i/>
          <w:iCs/>
          <w:color w:val="008000"/>
          <w:sz w:val="20"/>
          <w:szCs w:val="20"/>
          <w:u w:color="008000"/>
          <w:lang w:val="es-ES_tradnl"/>
        </w:rPr>
        <w:t>,</w:t>
      </w:r>
      <w:r w:rsidRPr="00EB4986">
        <w:rPr>
          <w:rStyle w:val="Ninguno"/>
          <w:rFonts w:eastAsia="Arial Unicode MS" w:cs="Arial Unicode MS"/>
          <w:i/>
          <w:iCs/>
          <w:color w:val="008000"/>
          <w:sz w:val="20"/>
          <w:szCs w:val="20"/>
          <w:u w:color="008000"/>
          <w:lang w:val="es-ES_tradnl"/>
        </w:rPr>
        <w:t xml:space="preserve"> hasta el </w:t>
      </w:r>
      <w:r w:rsidR="00891548">
        <w:rPr>
          <w:rStyle w:val="Ninguno"/>
          <w:rFonts w:eastAsia="Arial Unicode MS" w:cs="Arial Unicode MS"/>
          <w:i/>
          <w:iCs/>
          <w:color w:val="008000"/>
          <w:sz w:val="20"/>
          <w:szCs w:val="20"/>
          <w:u w:color="008000"/>
          <w:lang w:val="es-ES_tradnl"/>
        </w:rPr>
        <w:t xml:space="preserve">próximo </w:t>
      </w:r>
      <w:r w:rsidRPr="00EB4986">
        <w:rPr>
          <w:rStyle w:val="Ninguno"/>
          <w:rFonts w:eastAsia="Arial Unicode MS" w:cs="Arial Unicode MS"/>
          <w:i/>
          <w:iCs/>
          <w:color w:val="008000"/>
          <w:sz w:val="20"/>
          <w:szCs w:val="20"/>
          <w:u w:color="008000"/>
          <w:lang w:val="es-ES_tradnl"/>
        </w:rPr>
        <w:t xml:space="preserve">15 de mayo, </w:t>
      </w:r>
      <w:r w:rsidR="00891548">
        <w:rPr>
          <w:rStyle w:val="Ninguno"/>
          <w:rFonts w:eastAsia="Arial Unicode MS" w:cs="Arial Unicode MS"/>
          <w:i/>
          <w:iCs/>
          <w:color w:val="008000"/>
          <w:sz w:val="20"/>
          <w:szCs w:val="20"/>
          <w:u w:color="008000"/>
          <w:lang w:val="es-ES_tradnl"/>
        </w:rPr>
        <w:t>esta</w:t>
      </w:r>
      <w:r w:rsidRPr="00EB4986">
        <w:rPr>
          <w:rStyle w:val="Ninguno"/>
          <w:rFonts w:eastAsia="Arial Unicode MS" w:cs="Arial Unicode MS"/>
          <w:i/>
          <w:iCs/>
          <w:color w:val="008000"/>
          <w:sz w:val="20"/>
          <w:szCs w:val="20"/>
          <w:u w:color="008000"/>
          <w:lang w:val="es-ES_tradnl"/>
        </w:rPr>
        <w:t xml:space="preserve"> muestra individual de la artista Julia San Román.</w:t>
      </w:r>
    </w:p>
    <w:p w14:paraId="1710A83C" w14:textId="77777777" w:rsidR="00A6145E" w:rsidRPr="00A6145E" w:rsidRDefault="00A6145E" w:rsidP="00A6145E">
      <w:pPr>
        <w:rPr>
          <w:lang w:val="es-ES_tradnl"/>
        </w:rPr>
      </w:pPr>
    </w:p>
    <w:p w14:paraId="594F48A6" w14:textId="68EDB2BA" w:rsidR="00A8546E" w:rsidRDefault="009331D0" w:rsidP="00F057D9">
      <w:pPr>
        <w:spacing w:line="360" w:lineRule="auto"/>
        <w:jc w:val="both"/>
        <w:rPr>
          <w:rStyle w:val="Ninguno"/>
          <w:sz w:val="22"/>
          <w:szCs w:val="22"/>
          <w:lang w:val="es-ES_tradnl"/>
        </w:rPr>
      </w:pPr>
      <w:r>
        <w:rPr>
          <w:rStyle w:val="Ninguno"/>
          <w:b/>
          <w:sz w:val="22"/>
          <w:szCs w:val="22"/>
          <w:lang w:val="es-ES_tradnl"/>
        </w:rPr>
        <w:t xml:space="preserve">Madrid, </w:t>
      </w:r>
      <w:r w:rsidR="002C44E3">
        <w:rPr>
          <w:rStyle w:val="Ninguno"/>
          <w:b/>
          <w:sz w:val="22"/>
          <w:szCs w:val="22"/>
          <w:lang w:val="es-ES_tradnl"/>
        </w:rPr>
        <w:t>1</w:t>
      </w:r>
      <w:r w:rsidR="00EB4986">
        <w:rPr>
          <w:rStyle w:val="Ninguno"/>
          <w:b/>
          <w:sz w:val="22"/>
          <w:szCs w:val="22"/>
          <w:lang w:val="es-ES_tradnl"/>
        </w:rPr>
        <w:t>7</w:t>
      </w:r>
      <w:r>
        <w:rPr>
          <w:rStyle w:val="Ninguno"/>
          <w:b/>
          <w:sz w:val="22"/>
          <w:szCs w:val="22"/>
          <w:lang w:val="es-ES_tradnl"/>
        </w:rPr>
        <w:t xml:space="preserve"> de </w:t>
      </w:r>
      <w:r w:rsidR="00EB4986">
        <w:rPr>
          <w:rStyle w:val="Ninguno"/>
          <w:b/>
          <w:sz w:val="22"/>
          <w:szCs w:val="22"/>
          <w:lang w:val="es-ES_tradnl"/>
        </w:rPr>
        <w:t>abril</w:t>
      </w:r>
      <w:r>
        <w:rPr>
          <w:rStyle w:val="Ninguno"/>
          <w:b/>
          <w:sz w:val="22"/>
          <w:szCs w:val="22"/>
          <w:lang w:val="es-ES_tradnl"/>
        </w:rPr>
        <w:t xml:space="preserve"> de 2024:</w:t>
      </w:r>
      <w:r>
        <w:rPr>
          <w:rStyle w:val="Ninguno"/>
          <w:sz w:val="22"/>
          <w:szCs w:val="22"/>
          <w:lang w:val="es-ES_tradnl"/>
        </w:rPr>
        <w:t xml:space="preserve"> </w:t>
      </w:r>
      <w:r w:rsidR="00F057D9" w:rsidRPr="00F057D9">
        <w:rPr>
          <w:rStyle w:val="Ninguno"/>
          <w:sz w:val="22"/>
          <w:szCs w:val="22"/>
          <w:lang w:val="es-ES_tradnl"/>
        </w:rPr>
        <w:t xml:space="preserve">La exposición </w:t>
      </w:r>
      <w:r w:rsidR="00A8546E">
        <w:rPr>
          <w:rStyle w:val="Ninguno"/>
          <w:sz w:val="22"/>
          <w:szCs w:val="22"/>
          <w:lang w:val="es-ES_tradnl"/>
        </w:rPr>
        <w:t xml:space="preserve">de Julia San Román </w:t>
      </w:r>
      <w:r w:rsidR="00F057D9" w:rsidRPr="00F057D9">
        <w:rPr>
          <w:rStyle w:val="Ninguno"/>
          <w:sz w:val="22"/>
          <w:szCs w:val="22"/>
          <w:lang w:val="es-ES_tradnl"/>
        </w:rPr>
        <w:t xml:space="preserve">presenta dos series distintas de pintura </w:t>
      </w:r>
      <w:r w:rsidR="00A8546E">
        <w:rPr>
          <w:rStyle w:val="Ninguno"/>
          <w:sz w:val="22"/>
          <w:szCs w:val="22"/>
          <w:lang w:val="es-ES_tradnl"/>
        </w:rPr>
        <w:t>inspiradas en otras de sus s</w:t>
      </w:r>
      <w:r w:rsidR="00F057D9" w:rsidRPr="00F057D9">
        <w:rPr>
          <w:rStyle w:val="Ninguno"/>
          <w:sz w:val="22"/>
          <w:szCs w:val="22"/>
          <w:lang w:val="es-ES_tradnl"/>
        </w:rPr>
        <w:t>eries</w:t>
      </w:r>
      <w:r w:rsidR="00A8546E">
        <w:rPr>
          <w:rStyle w:val="Ninguno"/>
          <w:sz w:val="22"/>
          <w:szCs w:val="22"/>
          <w:lang w:val="es-ES_tradnl"/>
        </w:rPr>
        <w:t xml:space="preserve"> pictóricas</w:t>
      </w:r>
      <w:r w:rsidR="00F057D9" w:rsidRPr="00F057D9">
        <w:rPr>
          <w:rStyle w:val="Ninguno"/>
          <w:sz w:val="22"/>
          <w:szCs w:val="22"/>
          <w:lang w:val="es-ES_tradnl"/>
        </w:rPr>
        <w:t xml:space="preserve"> anteriores. </w:t>
      </w:r>
      <w:r w:rsidR="00A8546E">
        <w:rPr>
          <w:rStyle w:val="Ninguno"/>
          <w:sz w:val="22"/>
          <w:szCs w:val="22"/>
          <w:lang w:val="es-ES_tradnl"/>
        </w:rPr>
        <w:t xml:space="preserve">Bajo los nombres </w:t>
      </w:r>
      <w:r w:rsidR="00F057D9" w:rsidRPr="00F057D9">
        <w:rPr>
          <w:rStyle w:val="Ninguno"/>
          <w:sz w:val="22"/>
          <w:szCs w:val="22"/>
          <w:lang w:val="es-ES_tradnl"/>
        </w:rPr>
        <w:t>“Glimmer” y “Remnants”</w:t>
      </w:r>
      <w:r w:rsidR="00A8546E">
        <w:rPr>
          <w:rStyle w:val="Ninguno"/>
          <w:sz w:val="22"/>
          <w:szCs w:val="22"/>
          <w:lang w:val="es-ES_tradnl"/>
        </w:rPr>
        <w:t>, la artista</w:t>
      </w:r>
      <w:r w:rsidR="00A8546E" w:rsidRPr="00F057D9">
        <w:rPr>
          <w:rStyle w:val="Ninguno"/>
          <w:sz w:val="22"/>
          <w:szCs w:val="22"/>
          <w:lang w:val="es-ES_tradnl"/>
        </w:rPr>
        <w:t xml:space="preserve"> plantea la catarsis y la esperanza a través una selección de obras </w:t>
      </w:r>
      <w:r w:rsidR="00FD4889">
        <w:rPr>
          <w:rStyle w:val="Ninguno"/>
          <w:sz w:val="22"/>
          <w:szCs w:val="22"/>
          <w:lang w:val="es-ES_tradnl"/>
        </w:rPr>
        <w:t>con</w:t>
      </w:r>
      <w:r w:rsidR="00A8546E" w:rsidRPr="00F057D9">
        <w:rPr>
          <w:rStyle w:val="Ninguno"/>
          <w:sz w:val="22"/>
          <w:szCs w:val="22"/>
          <w:lang w:val="es-ES_tradnl"/>
        </w:rPr>
        <w:t xml:space="preserve"> resina</w:t>
      </w:r>
      <w:r w:rsidR="00F057D9" w:rsidRPr="00F057D9">
        <w:rPr>
          <w:rStyle w:val="Ninguno"/>
          <w:sz w:val="22"/>
          <w:szCs w:val="22"/>
          <w:lang w:val="es-ES_tradnl"/>
        </w:rPr>
        <w:t xml:space="preserve">. </w:t>
      </w:r>
    </w:p>
    <w:p w14:paraId="71E14A91" w14:textId="77777777" w:rsidR="00A8546E" w:rsidRDefault="00A8546E" w:rsidP="00F057D9">
      <w:pPr>
        <w:spacing w:line="360" w:lineRule="auto"/>
        <w:jc w:val="both"/>
        <w:rPr>
          <w:rStyle w:val="Ninguno"/>
          <w:sz w:val="22"/>
          <w:szCs w:val="22"/>
          <w:lang w:val="es-ES_tradnl"/>
        </w:rPr>
      </w:pPr>
    </w:p>
    <w:p w14:paraId="715333FF" w14:textId="6DC40767" w:rsidR="00F057D9" w:rsidRDefault="00F057D9" w:rsidP="00F057D9">
      <w:pPr>
        <w:spacing w:line="360" w:lineRule="auto"/>
        <w:jc w:val="both"/>
        <w:rPr>
          <w:rStyle w:val="Ninguno"/>
          <w:sz w:val="22"/>
          <w:szCs w:val="22"/>
          <w:lang w:val="es-ES_tradnl"/>
        </w:rPr>
      </w:pPr>
      <w:r w:rsidRPr="00F057D9">
        <w:rPr>
          <w:rStyle w:val="Ninguno"/>
          <w:sz w:val="22"/>
          <w:szCs w:val="22"/>
          <w:lang w:val="es-ES_tradnl"/>
        </w:rPr>
        <w:t>La primera</w:t>
      </w:r>
      <w:r w:rsidR="00A8546E">
        <w:rPr>
          <w:rStyle w:val="Ninguno"/>
          <w:sz w:val="22"/>
          <w:szCs w:val="22"/>
          <w:lang w:val="es-ES_tradnl"/>
        </w:rPr>
        <w:t xml:space="preserve"> de las series</w:t>
      </w:r>
      <w:r w:rsidRPr="00F057D9">
        <w:rPr>
          <w:rStyle w:val="Ninguno"/>
          <w:sz w:val="22"/>
          <w:szCs w:val="22"/>
          <w:lang w:val="es-ES_tradnl"/>
        </w:rPr>
        <w:t xml:space="preserve">, “Glimmer” (Fulgor) </w:t>
      </w:r>
      <w:r w:rsidR="00A8546E">
        <w:rPr>
          <w:rStyle w:val="Ninguno"/>
          <w:sz w:val="22"/>
          <w:szCs w:val="22"/>
          <w:lang w:val="es-ES_tradnl"/>
        </w:rPr>
        <w:t xml:space="preserve">constituye </w:t>
      </w:r>
      <w:r w:rsidRPr="00F057D9">
        <w:rPr>
          <w:rStyle w:val="Ninguno"/>
          <w:sz w:val="22"/>
          <w:szCs w:val="22"/>
          <w:lang w:val="es-ES_tradnl"/>
        </w:rPr>
        <w:t>un intento de llegar a la esencia de la luz, expresándolo mediante la abstracción geométrica, mezclada con episodios de luz realista reflejada en las nubes, convergiendo así dos lenguajes expresivos en su obra. La segunda, “Remnants” (Retazos), se presenta como una evolución de la anterior, añadiendo flores acrílicas, en alusión a la fugacidad de la vida y a la belleza transitoria.</w:t>
      </w:r>
    </w:p>
    <w:p w14:paraId="1D699FEE" w14:textId="77777777" w:rsidR="00F057D9" w:rsidRPr="00F057D9" w:rsidRDefault="00F057D9" w:rsidP="00F057D9">
      <w:pPr>
        <w:spacing w:line="360" w:lineRule="auto"/>
        <w:jc w:val="both"/>
        <w:rPr>
          <w:rStyle w:val="Ninguno"/>
          <w:sz w:val="22"/>
          <w:szCs w:val="22"/>
          <w:lang w:val="es-ES_tradnl"/>
        </w:rPr>
      </w:pPr>
    </w:p>
    <w:p w14:paraId="1FFEA198" w14:textId="08E8D94E" w:rsidR="00F057D9" w:rsidRDefault="00AB4779" w:rsidP="00F057D9">
      <w:pPr>
        <w:spacing w:line="360" w:lineRule="auto"/>
        <w:jc w:val="both"/>
        <w:rPr>
          <w:rStyle w:val="Ninguno"/>
          <w:sz w:val="22"/>
          <w:szCs w:val="22"/>
          <w:lang w:val="es-ES_tradnl"/>
        </w:rPr>
      </w:pPr>
      <w:r>
        <w:rPr>
          <w:rStyle w:val="Ninguno"/>
          <w:sz w:val="22"/>
          <w:szCs w:val="22"/>
          <w:lang w:val="es-ES_tradnl"/>
        </w:rPr>
        <w:t>L</w:t>
      </w:r>
      <w:r w:rsidR="00F057D9" w:rsidRPr="00F057D9">
        <w:rPr>
          <w:rStyle w:val="Ninguno"/>
          <w:sz w:val="22"/>
          <w:szCs w:val="22"/>
          <w:lang w:val="es-ES_tradnl"/>
        </w:rPr>
        <w:t>os fractales de luz</w:t>
      </w:r>
      <w:r>
        <w:rPr>
          <w:rStyle w:val="Ninguno"/>
          <w:sz w:val="22"/>
          <w:szCs w:val="22"/>
          <w:lang w:val="es-ES_tradnl"/>
        </w:rPr>
        <w:t>, objetos geométricos que se repiten cada uno como una copia del todo,</w:t>
      </w:r>
      <w:r w:rsidR="00F057D9" w:rsidRPr="00F057D9">
        <w:rPr>
          <w:rStyle w:val="Ninguno"/>
          <w:sz w:val="22"/>
          <w:szCs w:val="22"/>
          <w:lang w:val="es-ES_tradnl"/>
        </w:rPr>
        <w:t xml:space="preserve"> </w:t>
      </w:r>
      <w:r>
        <w:rPr>
          <w:rStyle w:val="Ninguno"/>
          <w:sz w:val="22"/>
          <w:szCs w:val="22"/>
          <w:lang w:val="es-ES_tradnl"/>
        </w:rPr>
        <w:t>son el</w:t>
      </w:r>
      <w:r w:rsidR="00F057D9" w:rsidRPr="00F057D9">
        <w:rPr>
          <w:rStyle w:val="Ninguno"/>
          <w:sz w:val="22"/>
          <w:szCs w:val="22"/>
          <w:lang w:val="es-ES_tradnl"/>
        </w:rPr>
        <w:t xml:space="preserve"> principal protagonista de </w:t>
      </w:r>
      <w:r>
        <w:rPr>
          <w:rStyle w:val="Ninguno"/>
          <w:sz w:val="22"/>
          <w:szCs w:val="22"/>
          <w:lang w:val="es-ES_tradnl"/>
        </w:rPr>
        <w:t>esta</w:t>
      </w:r>
      <w:r w:rsidR="00F057D9" w:rsidRPr="00F057D9">
        <w:rPr>
          <w:rStyle w:val="Ninguno"/>
          <w:sz w:val="22"/>
          <w:szCs w:val="22"/>
          <w:lang w:val="es-ES_tradnl"/>
        </w:rPr>
        <w:t xml:space="preserve"> obra, </w:t>
      </w:r>
      <w:r>
        <w:rPr>
          <w:rStyle w:val="Ninguno"/>
          <w:sz w:val="22"/>
          <w:szCs w:val="22"/>
          <w:lang w:val="es-ES_tradnl"/>
        </w:rPr>
        <w:t>en la que</w:t>
      </w:r>
      <w:r w:rsidR="00F057D9" w:rsidRPr="00F057D9">
        <w:rPr>
          <w:rStyle w:val="Ninguno"/>
          <w:sz w:val="22"/>
          <w:szCs w:val="22"/>
          <w:lang w:val="es-ES_tradnl"/>
        </w:rPr>
        <w:t xml:space="preserve"> parecen luchar por abrirse paso entre las nubes</w:t>
      </w:r>
      <w:r w:rsidR="00891548">
        <w:rPr>
          <w:rStyle w:val="Ninguno"/>
          <w:sz w:val="22"/>
          <w:szCs w:val="22"/>
          <w:lang w:val="es-ES_tradnl"/>
        </w:rPr>
        <w:t>.</w:t>
      </w:r>
      <w:r w:rsidR="00F057D9" w:rsidRPr="00F057D9">
        <w:rPr>
          <w:rStyle w:val="Ninguno"/>
          <w:sz w:val="22"/>
          <w:szCs w:val="22"/>
          <w:lang w:val="es-ES_tradnl"/>
        </w:rPr>
        <w:t xml:space="preserve"> Sus acabados brillantes y sus luminosos </w:t>
      </w:r>
      <w:r w:rsidRPr="00F057D9">
        <w:rPr>
          <w:rStyle w:val="Ninguno"/>
          <w:sz w:val="22"/>
          <w:szCs w:val="22"/>
          <w:lang w:val="es-ES_tradnl"/>
        </w:rPr>
        <w:t>trazos</w:t>
      </w:r>
      <w:r w:rsidR="00F057D9" w:rsidRPr="00F057D9">
        <w:rPr>
          <w:rStyle w:val="Ninguno"/>
          <w:sz w:val="22"/>
          <w:szCs w:val="22"/>
          <w:lang w:val="es-ES_tradnl"/>
        </w:rPr>
        <w:t xml:space="preserve"> evocan una visión personal y expresionista de la positividad </w:t>
      </w:r>
      <w:r>
        <w:rPr>
          <w:rStyle w:val="Ninguno"/>
          <w:sz w:val="22"/>
          <w:szCs w:val="22"/>
          <w:lang w:val="es-ES_tradnl"/>
        </w:rPr>
        <w:t>que la artista refleja</w:t>
      </w:r>
      <w:r w:rsidR="00F057D9" w:rsidRPr="00F057D9">
        <w:rPr>
          <w:rStyle w:val="Ninguno"/>
          <w:sz w:val="22"/>
          <w:szCs w:val="22"/>
          <w:lang w:val="es-ES_tradnl"/>
        </w:rPr>
        <w:t xml:space="preserve"> y de cómo la luz es capaz de vencer a la oscuridad. </w:t>
      </w:r>
    </w:p>
    <w:p w14:paraId="604B418B" w14:textId="77777777" w:rsidR="00F057D9" w:rsidRPr="00F057D9" w:rsidRDefault="00F057D9" w:rsidP="00F057D9">
      <w:pPr>
        <w:spacing w:line="360" w:lineRule="auto"/>
        <w:jc w:val="both"/>
        <w:rPr>
          <w:rStyle w:val="Ninguno"/>
          <w:sz w:val="22"/>
          <w:szCs w:val="22"/>
          <w:lang w:val="es-ES_tradnl"/>
        </w:rPr>
      </w:pPr>
    </w:p>
    <w:p w14:paraId="068A03B0" w14:textId="2F989482" w:rsidR="00F057D9" w:rsidRDefault="00F057D9" w:rsidP="00F057D9">
      <w:pPr>
        <w:spacing w:line="360" w:lineRule="auto"/>
        <w:jc w:val="both"/>
        <w:rPr>
          <w:rStyle w:val="Ninguno"/>
          <w:sz w:val="22"/>
          <w:szCs w:val="22"/>
          <w:lang w:val="es-ES_tradnl"/>
        </w:rPr>
      </w:pPr>
      <w:r w:rsidRPr="00F057D9">
        <w:rPr>
          <w:rStyle w:val="Ninguno"/>
          <w:sz w:val="22"/>
          <w:szCs w:val="22"/>
          <w:lang w:val="es-ES_tradnl"/>
        </w:rPr>
        <w:t xml:space="preserve">Nacida en Madrid, Julia </w:t>
      </w:r>
      <w:r w:rsidR="00AB4779">
        <w:rPr>
          <w:rStyle w:val="Ninguno"/>
          <w:sz w:val="22"/>
          <w:szCs w:val="22"/>
          <w:lang w:val="es-ES_tradnl"/>
        </w:rPr>
        <w:t xml:space="preserve">San Román </w:t>
      </w:r>
      <w:r w:rsidRPr="00F057D9">
        <w:rPr>
          <w:rStyle w:val="Ninguno"/>
          <w:sz w:val="22"/>
          <w:szCs w:val="22"/>
          <w:lang w:val="es-ES_tradnl"/>
        </w:rPr>
        <w:t xml:space="preserve">desarrolla su carrera </w:t>
      </w:r>
      <w:r w:rsidR="00AB4779">
        <w:rPr>
          <w:rStyle w:val="Ninguno"/>
          <w:sz w:val="22"/>
          <w:szCs w:val="22"/>
          <w:lang w:val="es-ES_tradnl"/>
        </w:rPr>
        <w:t xml:space="preserve">artística </w:t>
      </w:r>
      <w:r w:rsidRPr="00F057D9">
        <w:rPr>
          <w:rStyle w:val="Ninguno"/>
          <w:sz w:val="22"/>
          <w:szCs w:val="22"/>
          <w:lang w:val="es-ES_tradnl"/>
        </w:rPr>
        <w:t xml:space="preserve">en California. Doctorada con anterioridad en Ciencias Biológicas, en el año 2000 regresó al sistema universitario norteamericano para estudiar Artes Plásticas e Historia del Arte. Desde ese momento, se ha dedicado </w:t>
      </w:r>
      <w:r w:rsidR="00AB4779">
        <w:rPr>
          <w:rStyle w:val="Ninguno"/>
          <w:sz w:val="22"/>
          <w:szCs w:val="22"/>
          <w:lang w:val="es-ES_tradnl"/>
        </w:rPr>
        <w:t>por completo</w:t>
      </w:r>
      <w:r w:rsidRPr="00F057D9">
        <w:rPr>
          <w:rStyle w:val="Ninguno"/>
          <w:sz w:val="22"/>
          <w:szCs w:val="22"/>
          <w:lang w:val="es-ES_tradnl"/>
        </w:rPr>
        <w:t xml:space="preserve"> a la pintura. </w:t>
      </w:r>
    </w:p>
    <w:p w14:paraId="212B5DAC" w14:textId="77777777" w:rsidR="00F057D9" w:rsidRPr="00F057D9" w:rsidRDefault="00F057D9" w:rsidP="00F057D9">
      <w:pPr>
        <w:spacing w:line="360" w:lineRule="auto"/>
        <w:jc w:val="both"/>
        <w:rPr>
          <w:rStyle w:val="Ninguno"/>
          <w:sz w:val="22"/>
          <w:szCs w:val="22"/>
          <w:lang w:val="es-ES_tradnl"/>
        </w:rPr>
      </w:pPr>
    </w:p>
    <w:p w14:paraId="77BC24A4" w14:textId="32C6BE9E" w:rsidR="00F057D9" w:rsidRDefault="00AB4779" w:rsidP="00F057D9">
      <w:pPr>
        <w:spacing w:line="360" w:lineRule="auto"/>
        <w:jc w:val="both"/>
        <w:rPr>
          <w:rStyle w:val="Ninguno"/>
          <w:sz w:val="22"/>
          <w:szCs w:val="22"/>
          <w:lang w:val="es-ES_tradnl"/>
        </w:rPr>
      </w:pPr>
      <w:r>
        <w:rPr>
          <w:rStyle w:val="Ninguno"/>
          <w:sz w:val="22"/>
          <w:szCs w:val="22"/>
          <w:lang w:val="es-ES_tradnl"/>
        </w:rPr>
        <w:lastRenderedPageBreak/>
        <w:t>San Román h</w:t>
      </w:r>
      <w:r w:rsidR="00F057D9" w:rsidRPr="00F057D9">
        <w:rPr>
          <w:rStyle w:val="Ninguno"/>
          <w:sz w:val="22"/>
          <w:szCs w:val="22"/>
          <w:lang w:val="es-ES_tradnl"/>
        </w:rPr>
        <w:t>a expuesto colectivamente mediante representación en diversas galerías de E</w:t>
      </w:r>
      <w:r w:rsidR="009D795E">
        <w:rPr>
          <w:rStyle w:val="Ninguno"/>
          <w:sz w:val="22"/>
          <w:szCs w:val="22"/>
          <w:lang w:val="es-ES_tradnl"/>
        </w:rPr>
        <w:t>stados Unidos</w:t>
      </w:r>
      <w:r w:rsidR="00F057D9" w:rsidRPr="00F057D9">
        <w:rPr>
          <w:rStyle w:val="Ninguno"/>
          <w:sz w:val="22"/>
          <w:szCs w:val="22"/>
          <w:lang w:val="es-ES_tradnl"/>
        </w:rPr>
        <w:t xml:space="preserve">, incluyendo Nueva York, Santa Fe, New Orleans, Houston, Bernardsville, Tulsa, La Jolla, </w:t>
      </w:r>
      <w:r w:rsidR="009D795E">
        <w:rPr>
          <w:rStyle w:val="Ninguno"/>
          <w:sz w:val="22"/>
          <w:szCs w:val="22"/>
          <w:lang w:val="es-ES_tradnl"/>
        </w:rPr>
        <w:t>y</w:t>
      </w:r>
      <w:r w:rsidR="00F057D9" w:rsidRPr="00F057D9">
        <w:rPr>
          <w:rStyle w:val="Ninguno"/>
          <w:sz w:val="22"/>
          <w:szCs w:val="22"/>
          <w:lang w:val="es-ES_tradnl"/>
        </w:rPr>
        <w:t xml:space="preserve"> Washington D.C.</w:t>
      </w:r>
    </w:p>
    <w:p w14:paraId="3E2EE967" w14:textId="77777777" w:rsidR="009D795E" w:rsidRPr="00F057D9" w:rsidRDefault="009D795E" w:rsidP="00F057D9">
      <w:pPr>
        <w:spacing w:line="360" w:lineRule="auto"/>
        <w:jc w:val="both"/>
        <w:rPr>
          <w:rStyle w:val="Ninguno"/>
          <w:sz w:val="22"/>
          <w:szCs w:val="22"/>
          <w:lang w:val="es-ES_tradnl"/>
        </w:rPr>
      </w:pPr>
    </w:p>
    <w:p w14:paraId="4534CCE7" w14:textId="19068A1F" w:rsidR="00B17FF7" w:rsidRPr="00805DDA" w:rsidRDefault="00F057D9" w:rsidP="00F057D9">
      <w:pPr>
        <w:spacing w:line="360" w:lineRule="auto"/>
        <w:jc w:val="both"/>
        <w:rPr>
          <w:rStyle w:val="Ninguno"/>
          <w:sz w:val="22"/>
          <w:szCs w:val="22"/>
          <w:lang w:val="es-ES_tradnl"/>
        </w:rPr>
      </w:pPr>
      <w:r w:rsidRPr="00F057D9">
        <w:rPr>
          <w:rStyle w:val="Ninguno"/>
          <w:sz w:val="22"/>
          <w:szCs w:val="22"/>
          <w:lang w:val="es-ES_tradnl"/>
        </w:rPr>
        <w:t xml:space="preserve">La muestra </w:t>
      </w:r>
      <w:r w:rsidR="009D795E">
        <w:rPr>
          <w:rStyle w:val="Ninguno"/>
          <w:sz w:val="22"/>
          <w:szCs w:val="22"/>
          <w:lang w:val="es-ES_tradnl"/>
        </w:rPr>
        <w:t>se podrá visitar en la Galería de Arte de María Porto, en</w:t>
      </w:r>
      <w:r w:rsidRPr="00F057D9">
        <w:rPr>
          <w:rStyle w:val="Ninguno"/>
          <w:sz w:val="22"/>
          <w:szCs w:val="22"/>
          <w:lang w:val="es-ES_tradnl"/>
        </w:rPr>
        <w:t xml:space="preserve"> El Corte Inglés de Castellana</w:t>
      </w:r>
      <w:r w:rsidR="009D795E">
        <w:rPr>
          <w:rStyle w:val="Ninguno"/>
          <w:sz w:val="22"/>
          <w:szCs w:val="22"/>
          <w:lang w:val="es-ES_tradnl"/>
        </w:rPr>
        <w:t xml:space="preserve"> (Madrid)</w:t>
      </w:r>
      <w:r w:rsidRPr="00F057D9">
        <w:rPr>
          <w:rStyle w:val="Ninguno"/>
          <w:sz w:val="22"/>
          <w:szCs w:val="22"/>
          <w:lang w:val="es-ES_tradnl"/>
        </w:rPr>
        <w:t>, hasta el 15 de mayo.</w:t>
      </w:r>
    </w:p>
    <w:sectPr w:rsidR="00B17FF7" w:rsidRPr="00805DDA">
      <w:headerReference w:type="default" r:id="rId7"/>
      <w:headerReference w:type="first" r:id="rId8"/>
      <w:pgSz w:w="11900" w:h="16840"/>
      <w:pgMar w:top="1843" w:right="1134" w:bottom="1418" w:left="1361" w:header="964" w:footer="96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B5B1F" w14:textId="77777777" w:rsidR="000D7440" w:rsidRDefault="000D7440">
      <w:r>
        <w:separator/>
      </w:r>
    </w:p>
  </w:endnote>
  <w:endnote w:type="continuationSeparator" w:id="0">
    <w:p w14:paraId="204C3D7D" w14:textId="77777777" w:rsidR="000D7440" w:rsidRDefault="000D7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Helvetica Neue">
    <w:altName w:val="Arial"/>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E54CD" w14:textId="77777777" w:rsidR="000D7440" w:rsidRDefault="000D7440">
      <w:r>
        <w:separator/>
      </w:r>
    </w:p>
  </w:footnote>
  <w:footnote w:type="continuationSeparator" w:id="0">
    <w:p w14:paraId="09658BA2" w14:textId="77777777" w:rsidR="000D7440" w:rsidRDefault="000D74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A25C0" w14:textId="77777777" w:rsidR="002D141F" w:rsidRDefault="00877436">
    <w:pPr>
      <w:pStyle w:val="Encabezado"/>
      <w:rPr>
        <w:rStyle w:val="Ninguno"/>
        <w:color w:val="008000"/>
        <w:u w:color="008000"/>
        <w:lang w:val="es-ES_tradnl"/>
      </w:rPr>
    </w:pPr>
    <w:r>
      <w:rPr>
        <w:noProof/>
        <w:color w:val="008000"/>
        <w:u w:color="008000"/>
        <w:lang w:val="es-ES"/>
      </w:rPr>
      <w:drawing>
        <wp:anchor distT="152400" distB="152400" distL="152400" distR="152400" simplePos="0" relativeHeight="251657216" behindDoc="1" locked="0" layoutInCell="1" allowOverlap="1" wp14:anchorId="46BA226A" wp14:editId="6DC725C8">
          <wp:simplePos x="0" y="0"/>
          <wp:positionH relativeFrom="page">
            <wp:posOffset>864235</wp:posOffset>
          </wp:positionH>
          <wp:positionV relativeFrom="page">
            <wp:posOffset>570865</wp:posOffset>
          </wp:positionV>
          <wp:extent cx="914400" cy="299721"/>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Grupo_ECI.jpeg"/>
                  <pic:cNvPicPr>
                    <a:picLocks noChangeAspect="1"/>
                  </pic:cNvPicPr>
                </pic:nvPicPr>
                <pic:blipFill>
                  <a:blip r:embed="rId1"/>
                  <a:stretch>
                    <a:fillRect/>
                  </a:stretch>
                </pic:blipFill>
                <pic:spPr>
                  <a:xfrm>
                    <a:off x="0" y="0"/>
                    <a:ext cx="914400" cy="299721"/>
                  </a:xfrm>
                  <a:prstGeom prst="rect">
                    <a:avLst/>
                  </a:prstGeom>
                  <a:ln w="12700" cap="flat">
                    <a:noFill/>
                    <a:miter lim="400000"/>
                  </a:ln>
                  <a:effectLst/>
                </pic:spPr>
              </pic:pic>
            </a:graphicData>
          </a:graphic>
        </wp:anchor>
      </w:drawing>
    </w:r>
    <w:r>
      <w:rPr>
        <w:rStyle w:val="Ninguno"/>
        <w:lang w:val="es-ES_tradnl"/>
      </w:rPr>
      <w:tab/>
    </w:r>
    <w:r>
      <w:rPr>
        <w:rStyle w:val="Ninguno"/>
        <w:color w:val="008000"/>
        <w:u w:color="008000"/>
        <w:lang w:val="es-ES_tradnl"/>
      </w:rPr>
      <w:t xml:space="preserve">Página </w:t>
    </w:r>
    <w:r>
      <w:rPr>
        <w:rStyle w:val="Ninguno"/>
        <w:color w:val="008000"/>
        <w:u w:color="008000"/>
        <w:lang w:val="es-ES_tradnl"/>
      </w:rPr>
      <w:fldChar w:fldCharType="begin"/>
    </w:r>
    <w:r>
      <w:rPr>
        <w:rStyle w:val="Ninguno"/>
        <w:color w:val="008000"/>
        <w:u w:color="008000"/>
        <w:lang w:val="es-ES_tradnl"/>
      </w:rPr>
      <w:instrText xml:space="preserve"> PAGE </w:instrText>
    </w:r>
    <w:r>
      <w:rPr>
        <w:rStyle w:val="Ninguno"/>
        <w:color w:val="008000"/>
        <w:u w:color="008000"/>
        <w:lang w:val="es-ES_tradnl"/>
      </w:rPr>
      <w:fldChar w:fldCharType="separate"/>
    </w:r>
    <w:r w:rsidR="00346162">
      <w:rPr>
        <w:rStyle w:val="Ninguno"/>
        <w:noProof/>
        <w:color w:val="008000"/>
        <w:u w:color="008000"/>
        <w:lang w:val="es-ES_tradnl"/>
      </w:rPr>
      <w:t>2</w:t>
    </w:r>
    <w:r>
      <w:rPr>
        <w:rStyle w:val="Ninguno"/>
        <w:color w:val="008000"/>
        <w:u w:color="008000"/>
        <w:lang w:val="es-ES_tradnl"/>
      </w:rPr>
      <w:fldChar w:fldCharType="end"/>
    </w:r>
  </w:p>
  <w:p w14:paraId="1AE6F04C" w14:textId="77777777" w:rsidR="002D141F" w:rsidRDefault="002D141F">
    <w:pPr>
      <w:pStyle w:val="Encabezado"/>
      <w:rPr>
        <w:rStyle w:val="Ninguno"/>
        <w:color w:val="008000"/>
        <w:u w:color="008000"/>
        <w:lang w:val="es-ES_tradnl"/>
      </w:rPr>
    </w:pPr>
  </w:p>
  <w:p w14:paraId="289D5A45" w14:textId="77777777" w:rsidR="002D141F" w:rsidRDefault="002D141F">
    <w:pPr>
      <w:pStyle w:val="Encabezado"/>
      <w:rPr>
        <w:rStyle w:val="Ninguno"/>
        <w:color w:val="008000"/>
        <w:u w:color="008000"/>
        <w:lang w:val="es-ES_tradnl"/>
      </w:rPr>
    </w:pPr>
  </w:p>
  <w:p w14:paraId="379CC78F" w14:textId="77777777" w:rsidR="002D141F" w:rsidRDefault="002D141F">
    <w:pPr>
      <w:pStyle w:val="Encabezado"/>
      <w:rPr>
        <w:rStyle w:val="Ninguno"/>
        <w:color w:val="008000"/>
        <w:u w:color="008000"/>
        <w:lang w:val="es-ES_tradnl"/>
      </w:rPr>
    </w:pPr>
  </w:p>
  <w:p w14:paraId="14A07F29" w14:textId="77777777" w:rsidR="002D141F" w:rsidRDefault="002D141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C901F" w14:textId="77777777" w:rsidR="002D141F" w:rsidRDefault="00877436">
    <w:pPr>
      <w:pStyle w:val="Encabezado"/>
    </w:pPr>
    <w:r>
      <w:rPr>
        <w:noProof/>
        <w:lang w:val="es-ES"/>
      </w:rPr>
      <w:drawing>
        <wp:anchor distT="152400" distB="152400" distL="152400" distR="152400" simplePos="0" relativeHeight="251658240" behindDoc="1" locked="0" layoutInCell="1" allowOverlap="1" wp14:anchorId="0C014B5E" wp14:editId="28B5033B">
          <wp:simplePos x="0" y="0"/>
          <wp:positionH relativeFrom="page">
            <wp:posOffset>5293360</wp:posOffset>
          </wp:positionH>
          <wp:positionV relativeFrom="page">
            <wp:posOffset>500380</wp:posOffset>
          </wp:positionV>
          <wp:extent cx="1435100" cy="469900"/>
          <wp:effectExtent l="0" t="0" r="0" b="0"/>
          <wp:wrapNone/>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Grupo_ECI.jpeg"/>
                  <pic:cNvPicPr>
                    <a:picLocks noChangeAspect="1"/>
                  </pic:cNvPicPr>
                </pic:nvPicPr>
                <pic:blipFill>
                  <a:blip r:embed="rId1"/>
                  <a:stretch>
                    <a:fillRect/>
                  </a:stretch>
                </pic:blipFill>
                <pic:spPr>
                  <a:xfrm>
                    <a:off x="0" y="0"/>
                    <a:ext cx="1435100" cy="469900"/>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953B10"/>
    <w:multiLevelType w:val="hybridMultilevel"/>
    <w:tmpl w:val="208289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E864BFE"/>
    <w:multiLevelType w:val="hybridMultilevel"/>
    <w:tmpl w:val="42947FD2"/>
    <w:styleLink w:val="Estiloimportado1"/>
    <w:lvl w:ilvl="0" w:tplc="0A76B916">
      <w:start w:val="1"/>
      <w:numFmt w:val="bullet"/>
      <w:lvlText w:val="·"/>
      <w:lvlJc w:val="left"/>
      <w:pPr>
        <w:ind w:left="426"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461E68">
      <w:start w:val="1"/>
      <w:numFmt w:val="bullet"/>
      <w:lvlText w:val="o"/>
      <w:lvlJc w:val="left"/>
      <w:pPr>
        <w:ind w:left="114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51012A2">
      <w:start w:val="1"/>
      <w:numFmt w:val="bullet"/>
      <w:lvlText w:val="▪"/>
      <w:lvlJc w:val="left"/>
      <w:pPr>
        <w:ind w:left="186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AAC2E9C">
      <w:start w:val="1"/>
      <w:numFmt w:val="bullet"/>
      <w:lvlText w:val="·"/>
      <w:lvlJc w:val="left"/>
      <w:pPr>
        <w:ind w:left="2586"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96F81E">
      <w:start w:val="1"/>
      <w:numFmt w:val="bullet"/>
      <w:lvlText w:val="o"/>
      <w:lvlJc w:val="left"/>
      <w:pPr>
        <w:ind w:left="330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0E61342">
      <w:start w:val="1"/>
      <w:numFmt w:val="bullet"/>
      <w:lvlText w:val="▪"/>
      <w:lvlJc w:val="left"/>
      <w:pPr>
        <w:ind w:left="402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DFA826C">
      <w:start w:val="1"/>
      <w:numFmt w:val="bullet"/>
      <w:lvlText w:val="·"/>
      <w:lvlJc w:val="left"/>
      <w:pPr>
        <w:ind w:left="4746"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3DA1768">
      <w:start w:val="1"/>
      <w:numFmt w:val="bullet"/>
      <w:lvlText w:val="o"/>
      <w:lvlJc w:val="left"/>
      <w:pPr>
        <w:ind w:left="546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909386">
      <w:start w:val="1"/>
      <w:numFmt w:val="bullet"/>
      <w:lvlText w:val="▪"/>
      <w:lvlJc w:val="left"/>
      <w:pPr>
        <w:ind w:left="618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53B80BF4"/>
    <w:multiLevelType w:val="hybridMultilevel"/>
    <w:tmpl w:val="801A0E74"/>
    <w:lvl w:ilvl="0" w:tplc="0C0A0001">
      <w:start w:val="1"/>
      <w:numFmt w:val="bullet"/>
      <w:lvlText w:val=""/>
      <w:lvlJc w:val="left"/>
      <w:pPr>
        <w:ind w:left="426" w:hanging="360"/>
      </w:pPr>
      <w:rPr>
        <w:rFonts w:ascii="Symbol" w:hAnsi="Symbol" w:hint="default"/>
      </w:rPr>
    </w:lvl>
    <w:lvl w:ilvl="1" w:tplc="0C0A0003" w:tentative="1">
      <w:start w:val="1"/>
      <w:numFmt w:val="bullet"/>
      <w:lvlText w:val="o"/>
      <w:lvlJc w:val="left"/>
      <w:pPr>
        <w:ind w:left="1146" w:hanging="360"/>
      </w:pPr>
      <w:rPr>
        <w:rFonts w:ascii="Courier New" w:hAnsi="Courier New" w:cs="Courier New" w:hint="default"/>
      </w:rPr>
    </w:lvl>
    <w:lvl w:ilvl="2" w:tplc="0C0A0005" w:tentative="1">
      <w:start w:val="1"/>
      <w:numFmt w:val="bullet"/>
      <w:lvlText w:val=""/>
      <w:lvlJc w:val="left"/>
      <w:pPr>
        <w:ind w:left="1866" w:hanging="360"/>
      </w:pPr>
      <w:rPr>
        <w:rFonts w:ascii="Wingdings" w:hAnsi="Wingdings" w:hint="default"/>
      </w:rPr>
    </w:lvl>
    <w:lvl w:ilvl="3" w:tplc="0C0A0001" w:tentative="1">
      <w:start w:val="1"/>
      <w:numFmt w:val="bullet"/>
      <w:lvlText w:val=""/>
      <w:lvlJc w:val="left"/>
      <w:pPr>
        <w:ind w:left="2586" w:hanging="360"/>
      </w:pPr>
      <w:rPr>
        <w:rFonts w:ascii="Symbol" w:hAnsi="Symbol" w:hint="default"/>
      </w:rPr>
    </w:lvl>
    <w:lvl w:ilvl="4" w:tplc="0C0A0003" w:tentative="1">
      <w:start w:val="1"/>
      <w:numFmt w:val="bullet"/>
      <w:lvlText w:val="o"/>
      <w:lvlJc w:val="left"/>
      <w:pPr>
        <w:ind w:left="3306" w:hanging="360"/>
      </w:pPr>
      <w:rPr>
        <w:rFonts w:ascii="Courier New" w:hAnsi="Courier New" w:cs="Courier New" w:hint="default"/>
      </w:rPr>
    </w:lvl>
    <w:lvl w:ilvl="5" w:tplc="0C0A0005" w:tentative="1">
      <w:start w:val="1"/>
      <w:numFmt w:val="bullet"/>
      <w:lvlText w:val=""/>
      <w:lvlJc w:val="left"/>
      <w:pPr>
        <w:ind w:left="4026" w:hanging="360"/>
      </w:pPr>
      <w:rPr>
        <w:rFonts w:ascii="Wingdings" w:hAnsi="Wingdings" w:hint="default"/>
      </w:rPr>
    </w:lvl>
    <w:lvl w:ilvl="6" w:tplc="0C0A0001" w:tentative="1">
      <w:start w:val="1"/>
      <w:numFmt w:val="bullet"/>
      <w:lvlText w:val=""/>
      <w:lvlJc w:val="left"/>
      <w:pPr>
        <w:ind w:left="4746" w:hanging="360"/>
      </w:pPr>
      <w:rPr>
        <w:rFonts w:ascii="Symbol" w:hAnsi="Symbol" w:hint="default"/>
      </w:rPr>
    </w:lvl>
    <w:lvl w:ilvl="7" w:tplc="0C0A0003" w:tentative="1">
      <w:start w:val="1"/>
      <w:numFmt w:val="bullet"/>
      <w:lvlText w:val="o"/>
      <w:lvlJc w:val="left"/>
      <w:pPr>
        <w:ind w:left="5466" w:hanging="360"/>
      </w:pPr>
      <w:rPr>
        <w:rFonts w:ascii="Courier New" w:hAnsi="Courier New" w:cs="Courier New" w:hint="default"/>
      </w:rPr>
    </w:lvl>
    <w:lvl w:ilvl="8" w:tplc="0C0A0005" w:tentative="1">
      <w:start w:val="1"/>
      <w:numFmt w:val="bullet"/>
      <w:lvlText w:val=""/>
      <w:lvlJc w:val="left"/>
      <w:pPr>
        <w:ind w:left="6186" w:hanging="360"/>
      </w:pPr>
      <w:rPr>
        <w:rFonts w:ascii="Wingdings" w:hAnsi="Wingdings" w:hint="default"/>
      </w:rPr>
    </w:lvl>
  </w:abstractNum>
  <w:abstractNum w:abstractNumId="3" w15:restartNumberingAfterBreak="0">
    <w:nsid w:val="7C063B6A"/>
    <w:multiLevelType w:val="hybridMultilevel"/>
    <w:tmpl w:val="42947FD2"/>
    <w:numStyleLink w:val="Estiloimportado1"/>
  </w:abstractNum>
  <w:num w:numId="1" w16cid:durableId="804659690">
    <w:abstractNumId w:val="1"/>
  </w:num>
  <w:num w:numId="2" w16cid:durableId="319575222">
    <w:abstractNumId w:val="3"/>
  </w:num>
  <w:num w:numId="3" w16cid:durableId="1720547821">
    <w:abstractNumId w:val="2"/>
  </w:num>
  <w:num w:numId="4" w16cid:durableId="2007316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D141F"/>
    <w:rsid w:val="0001615C"/>
    <w:rsid w:val="00017D87"/>
    <w:rsid w:val="000462A3"/>
    <w:rsid w:val="00060D1F"/>
    <w:rsid w:val="000752B8"/>
    <w:rsid w:val="000811B4"/>
    <w:rsid w:val="000820E1"/>
    <w:rsid w:val="00085074"/>
    <w:rsid w:val="000906C0"/>
    <w:rsid w:val="000D52CC"/>
    <w:rsid w:val="000D7440"/>
    <w:rsid w:val="00101D6C"/>
    <w:rsid w:val="001071C7"/>
    <w:rsid w:val="00113653"/>
    <w:rsid w:val="00163ACF"/>
    <w:rsid w:val="00166108"/>
    <w:rsid w:val="001722AE"/>
    <w:rsid w:val="00190944"/>
    <w:rsid w:val="00197757"/>
    <w:rsid w:val="001A4CE4"/>
    <w:rsid w:val="001A5FD9"/>
    <w:rsid w:val="001B2058"/>
    <w:rsid w:val="001B24C3"/>
    <w:rsid w:val="001B6974"/>
    <w:rsid w:val="001F3AC1"/>
    <w:rsid w:val="00207062"/>
    <w:rsid w:val="002139B4"/>
    <w:rsid w:val="00225CAE"/>
    <w:rsid w:val="0024746A"/>
    <w:rsid w:val="002613F1"/>
    <w:rsid w:val="002662A4"/>
    <w:rsid w:val="00272C72"/>
    <w:rsid w:val="0028004B"/>
    <w:rsid w:val="002C44E3"/>
    <w:rsid w:val="002D141F"/>
    <w:rsid w:val="002D1F9F"/>
    <w:rsid w:val="002E3B64"/>
    <w:rsid w:val="002E3D63"/>
    <w:rsid w:val="002F15AD"/>
    <w:rsid w:val="00341BB5"/>
    <w:rsid w:val="00346162"/>
    <w:rsid w:val="00350E03"/>
    <w:rsid w:val="00370543"/>
    <w:rsid w:val="003B10BF"/>
    <w:rsid w:val="003C2D85"/>
    <w:rsid w:val="003E2387"/>
    <w:rsid w:val="0041376F"/>
    <w:rsid w:val="004150C9"/>
    <w:rsid w:val="0042015E"/>
    <w:rsid w:val="004212CE"/>
    <w:rsid w:val="00432AC6"/>
    <w:rsid w:val="004435BD"/>
    <w:rsid w:val="0044485C"/>
    <w:rsid w:val="00457E1F"/>
    <w:rsid w:val="00477DCC"/>
    <w:rsid w:val="00485C10"/>
    <w:rsid w:val="00487AA0"/>
    <w:rsid w:val="004969D6"/>
    <w:rsid w:val="004C55F1"/>
    <w:rsid w:val="004D146D"/>
    <w:rsid w:val="004D1FB1"/>
    <w:rsid w:val="00500390"/>
    <w:rsid w:val="00510513"/>
    <w:rsid w:val="0051390B"/>
    <w:rsid w:val="005253CC"/>
    <w:rsid w:val="00553853"/>
    <w:rsid w:val="005551CF"/>
    <w:rsid w:val="00566E98"/>
    <w:rsid w:val="0058010D"/>
    <w:rsid w:val="005C7C88"/>
    <w:rsid w:val="005D2D1D"/>
    <w:rsid w:val="005F14B8"/>
    <w:rsid w:val="006175A4"/>
    <w:rsid w:val="00625C59"/>
    <w:rsid w:val="006307BB"/>
    <w:rsid w:val="0064579A"/>
    <w:rsid w:val="00682131"/>
    <w:rsid w:val="00693889"/>
    <w:rsid w:val="0069533E"/>
    <w:rsid w:val="006A4CF6"/>
    <w:rsid w:val="006D51F5"/>
    <w:rsid w:val="006E0E39"/>
    <w:rsid w:val="006E41B2"/>
    <w:rsid w:val="006E7FB3"/>
    <w:rsid w:val="007010AB"/>
    <w:rsid w:val="00721490"/>
    <w:rsid w:val="00730036"/>
    <w:rsid w:val="007377A4"/>
    <w:rsid w:val="00760B0E"/>
    <w:rsid w:val="007A6D5B"/>
    <w:rsid w:val="007D40CC"/>
    <w:rsid w:val="007E202E"/>
    <w:rsid w:val="00805DDA"/>
    <w:rsid w:val="00810166"/>
    <w:rsid w:val="008129EB"/>
    <w:rsid w:val="008404E3"/>
    <w:rsid w:val="0084664B"/>
    <w:rsid w:val="008629ED"/>
    <w:rsid w:val="00877436"/>
    <w:rsid w:val="00887768"/>
    <w:rsid w:val="00891548"/>
    <w:rsid w:val="00894824"/>
    <w:rsid w:val="008A1243"/>
    <w:rsid w:val="008B6C95"/>
    <w:rsid w:val="008D07C0"/>
    <w:rsid w:val="008E128D"/>
    <w:rsid w:val="008F128D"/>
    <w:rsid w:val="009215E8"/>
    <w:rsid w:val="00925E35"/>
    <w:rsid w:val="009331D0"/>
    <w:rsid w:val="0093717B"/>
    <w:rsid w:val="009418C4"/>
    <w:rsid w:val="0096165C"/>
    <w:rsid w:val="00962AC2"/>
    <w:rsid w:val="009849AE"/>
    <w:rsid w:val="0099120E"/>
    <w:rsid w:val="009A09C8"/>
    <w:rsid w:val="009A6F98"/>
    <w:rsid w:val="009B014A"/>
    <w:rsid w:val="009D795E"/>
    <w:rsid w:val="009F651D"/>
    <w:rsid w:val="00A12075"/>
    <w:rsid w:val="00A331E2"/>
    <w:rsid w:val="00A42E8B"/>
    <w:rsid w:val="00A47E06"/>
    <w:rsid w:val="00A6145E"/>
    <w:rsid w:val="00A67DD5"/>
    <w:rsid w:val="00A765DB"/>
    <w:rsid w:val="00A8546E"/>
    <w:rsid w:val="00A9187F"/>
    <w:rsid w:val="00A935BF"/>
    <w:rsid w:val="00A96508"/>
    <w:rsid w:val="00AA68E0"/>
    <w:rsid w:val="00AA6973"/>
    <w:rsid w:val="00AA7A74"/>
    <w:rsid w:val="00AB4779"/>
    <w:rsid w:val="00AD1950"/>
    <w:rsid w:val="00B17FF7"/>
    <w:rsid w:val="00B22E68"/>
    <w:rsid w:val="00B6032F"/>
    <w:rsid w:val="00B619BB"/>
    <w:rsid w:val="00B76C4A"/>
    <w:rsid w:val="00B84C23"/>
    <w:rsid w:val="00B873BA"/>
    <w:rsid w:val="00B97ECD"/>
    <w:rsid w:val="00BC084F"/>
    <w:rsid w:val="00BC2285"/>
    <w:rsid w:val="00BD4E36"/>
    <w:rsid w:val="00C02EAD"/>
    <w:rsid w:val="00C030C9"/>
    <w:rsid w:val="00C1568C"/>
    <w:rsid w:val="00C36E92"/>
    <w:rsid w:val="00C36FE5"/>
    <w:rsid w:val="00C370FF"/>
    <w:rsid w:val="00C421A1"/>
    <w:rsid w:val="00C562FA"/>
    <w:rsid w:val="00C577A4"/>
    <w:rsid w:val="00C67563"/>
    <w:rsid w:val="00C67EFC"/>
    <w:rsid w:val="00C76C47"/>
    <w:rsid w:val="00CA6555"/>
    <w:rsid w:val="00CB6B0F"/>
    <w:rsid w:val="00CC4CA7"/>
    <w:rsid w:val="00D1093C"/>
    <w:rsid w:val="00D11502"/>
    <w:rsid w:val="00D351ED"/>
    <w:rsid w:val="00D43528"/>
    <w:rsid w:val="00D5538B"/>
    <w:rsid w:val="00D62870"/>
    <w:rsid w:val="00D6426E"/>
    <w:rsid w:val="00D7041A"/>
    <w:rsid w:val="00DB3D7A"/>
    <w:rsid w:val="00DD179B"/>
    <w:rsid w:val="00E26327"/>
    <w:rsid w:val="00E46C0C"/>
    <w:rsid w:val="00E54064"/>
    <w:rsid w:val="00E56EEE"/>
    <w:rsid w:val="00E65DAC"/>
    <w:rsid w:val="00E67C5D"/>
    <w:rsid w:val="00EA53E0"/>
    <w:rsid w:val="00EA5870"/>
    <w:rsid w:val="00EA7C45"/>
    <w:rsid w:val="00EA7DCF"/>
    <w:rsid w:val="00EB4986"/>
    <w:rsid w:val="00EC2D49"/>
    <w:rsid w:val="00EE62EE"/>
    <w:rsid w:val="00EF79A4"/>
    <w:rsid w:val="00F00EB6"/>
    <w:rsid w:val="00F057D9"/>
    <w:rsid w:val="00F06F23"/>
    <w:rsid w:val="00F07074"/>
    <w:rsid w:val="00F176C5"/>
    <w:rsid w:val="00F2405A"/>
    <w:rsid w:val="00F256B5"/>
    <w:rsid w:val="00F51302"/>
    <w:rsid w:val="00F52687"/>
    <w:rsid w:val="00F67CBB"/>
    <w:rsid w:val="00F7795A"/>
    <w:rsid w:val="00FB659D"/>
    <w:rsid w:val="00FD488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8AA5E"/>
  <w15:docId w15:val="{2FCBC13A-0DD6-4A31-B735-24A83FE3A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s-ES" w:eastAsia="es-E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rFonts w:ascii="Century Gothic" w:eastAsia="Century Gothic" w:hAnsi="Century Gothic" w:cs="Century Gothic"/>
      <w:color w:val="000000"/>
      <w:spacing w:val="-5"/>
      <w:sz w:val="18"/>
      <w:szCs w:val="18"/>
      <w:u w:color="000000"/>
      <w:lang w:val="en-US"/>
    </w:rPr>
  </w:style>
  <w:style w:type="paragraph" w:styleId="Ttulo1">
    <w:name w:val="heading 1"/>
    <w:next w:val="Normal"/>
    <w:pPr>
      <w:spacing w:before="1200"/>
      <w:outlineLvl w:val="0"/>
    </w:pPr>
    <w:rPr>
      <w:rFonts w:ascii="Century Gothic" w:hAnsi="Century Gothic" w:cs="Arial Unicode MS"/>
      <w:caps/>
      <w:color w:val="2A5A78"/>
      <w:spacing w:val="-5"/>
      <w:sz w:val="84"/>
      <w:szCs w:val="84"/>
      <w:u w:color="2A5A78"/>
      <w:lang w:val="en-US"/>
    </w:rPr>
  </w:style>
  <w:style w:type="paragraph" w:styleId="Ttulo3">
    <w:name w:val="heading 3"/>
    <w:next w:val="Normal"/>
    <w:pPr>
      <w:spacing w:before="320" w:after="80"/>
      <w:outlineLvl w:val="2"/>
    </w:pPr>
    <w:rPr>
      <w:rFonts w:ascii="Century Gothic" w:hAnsi="Century Gothic" w:cs="Arial Unicode MS"/>
      <w:color w:val="2A5A78"/>
      <w:spacing w:val="-5"/>
      <w:sz w:val="28"/>
      <w:szCs w:val="28"/>
      <w:u w:color="2A5A78"/>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cabezado">
    <w:name w:val="header"/>
    <w:pPr>
      <w:tabs>
        <w:tab w:val="right" w:pos="9360"/>
      </w:tabs>
    </w:pPr>
    <w:rPr>
      <w:rFonts w:ascii="Century Gothic" w:hAnsi="Century Gothic" w:cs="Arial Unicode MS"/>
      <w:b/>
      <w:bCs/>
      <w:caps/>
      <w:color w:val="2A5A78"/>
      <w:spacing w:val="-5"/>
      <w:sz w:val="18"/>
      <w:szCs w:val="18"/>
      <w:u w:color="2A5A78"/>
      <w:lang w:val="en-US"/>
    </w:rPr>
  </w:style>
  <w:style w:type="character" w:customStyle="1" w:styleId="Ninguno">
    <w:name w:val="Ninguno"/>
  </w:style>
  <w:style w:type="paragraph" w:customStyle="1" w:styleId="Cabeceraypie">
    <w:name w:val="Cabecera y pie"/>
    <w:pPr>
      <w:tabs>
        <w:tab w:val="right" w:pos="9020"/>
      </w:tabs>
    </w:pPr>
    <w:rPr>
      <w:rFonts w:ascii="Helvetica Neue" w:eastAsia="Helvetica Neue" w:hAnsi="Helvetica Neue" w:cs="Helvetica Neue"/>
      <w:color w:val="000000"/>
      <w:sz w:val="24"/>
      <w:szCs w:val="24"/>
    </w:rPr>
  </w:style>
  <w:style w:type="numbering" w:customStyle="1" w:styleId="Estiloimportado1">
    <w:name w:val="Estilo importado 1"/>
    <w:pPr>
      <w:numPr>
        <w:numId w:val="1"/>
      </w:numPr>
    </w:pPr>
  </w:style>
  <w:style w:type="character" w:styleId="Mencinsinresolver">
    <w:name w:val="Unresolved Mention"/>
    <w:basedOn w:val="Fuentedeprrafopredeter"/>
    <w:uiPriority w:val="99"/>
    <w:semiHidden/>
    <w:unhideWhenUsed/>
    <w:rsid w:val="00190944"/>
    <w:rPr>
      <w:color w:val="605E5C"/>
      <w:shd w:val="clear" w:color="auto" w:fill="E1DFDD"/>
    </w:rPr>
  </w:style>
  <w:style w:type="character" w:styleId="nfasis">
    <w:name w:val="Emphasis"/>
    <w:basedOn w:val="Fuentedeprrafopredeter"/>
    <w:uiPriority w:val="20"/>
    <w:qFormat/>
    <w:rsid w:val="000752B8"/>
    <w:rPr>
      <w:i/>
      <w:iCs/>
    </w:rPr>
  </w:style>
  <w:style w:type="paragraph" w:styleId="Prrafodelista">
    <w:name w:val="List Paragraph"/>
    <w:basedOn w:val="Normal"/>
    <w:uiPriority w:val="34"/>
    <w:qFormat/>
    <w:rsid w:val="00EA7D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header2.xml" Type="http://schemas.openxmlformats.org/officeDocument/2006/relationships/header"/><Relationship Id="rId9" Target="fontTable.xml" Type="http://schemas.openxmlformats.org/officeDocument/2006/relationships/fontTable"/></Relationships>
</file>

<file path=word/_rels/header1.xml.rels><?xml version="1.0" encoding="UTF-8" standalone="no"?><Relationships xmlns="http://schemas.openxmlformats.org/package/2006/relationships"><Relationship Id="rId1" Target="media/image1.jpeg" Type="http://schemas.openxmlformats.org/officeDocument/2006/relationships/image"/></Relationships>
</file>

<file path=word/_rels/header2.xml.rels><?xml version="1.0" encoding="UTF-8" standalone="no"?><Relationships xmlns="http://schemas.openxmlformats.org/package/2006/relationships"><Relationship Id="rId1" Target="media/image1.jpeg" Type="http://schemas.openxmlformats.org/officeDocument/2006/relationships/image"/></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
  <TotalTime>912</TotalTime>
  <Pages>2</Pages>
  <Words>334</Words>
  <Characters>1840</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2024-02-07T15:41:00Z</dcterms:created>
  <dcterms:modified xsi:type="dcterms:W3CDTF">2024-04-16T15:17:00Z</dcterms:modified>
  <cp:revision>3</cp:revision>
</cp:coreProperties>
</file>