
<file path=[Content_Types].xml><?xml version="1.0" encoding="utf-8"?>
<Types xmlns="http://schemas.openxmlformats.org/package/2006/content-types">
  <Default ContentType="application/vnd.openxmlformats-officedocument.oleObject" Extension="bin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ms-office.intelligence2+xml" PartName="/word/intelligence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70BED2" w14:textId="07685690" w:rsidR="006801B2" w:rsidRDefault="00963658" w:rsidP="0B501DA4">
      <w:pPr>
        <w:spacing w:before="480" w:after="0" w:line="240" w:lineRule="auto"/>
        <w:rPr>
          <w:rFonts w:ascii="Century Gothic" w:eastAsia="Century Gothic" w:hAnsi="Century Gothic" w:cs="Century Gothic"/>
          <w:b/>
          <w:bCs/>
          <w:caps/>
          <w:color w:val="008000"/>
          <w:sz w:val="28"/>
          <w:szCs w:val="28"/>
        </w:rPr>
      </w:pPr>
      <w:r>
        <w:object w:dxaOrig="3870" w:dyaOrig="1484" w14:anchorId="5FB99F21">
          <v:rect id="rectole0000000000" o:spid="_x0000_i1025" style="width:193.35pt;height:74pt" o:ole="" o:preferrelative="t" stroked="f">
            <v:imagedata r:id="rId5" o:title=""/>
          </v:rect>
          <o:OLEObject Type="Embed" ProgID="StaticMetafile" ShapeID="rectole0000000000" DrawAspect="Content" ObjectID="_1792926583" r:id="rId6"/>
        </w:object>
      </w:r>
      <w:r w:rsidR="63A64409">
        <w:t xml:space="preserve"> </w:t>
      </w:r>
    </w:p>
    <w:p w14:paraId="13FC9BCA" w14:textId="77777777" w:rsidR="006801B2" w:rsidRDefault="1390406B" w:rsidP="0B501DA4">
      <w:pPr>
        <w:spacing w:before="480" w:after="0" w:line="240" w:lineRule="auto"/>
        <w:jc w:val="center"/>
        <w:rPr>
          <w:rFonts w:ascii="Century Gothic" w:eastAsia="Century Gothic" w:hAnsi="Century Gothic" w:cs="Century Gothic"/>
          <w:b/>
          <w:bCs/>
          <w:caps/>
          <w:color w:val="008000"/>
          <w:spacing w:val="-5"/>
          <w:sz w:val="28"/>
          <w:szCs w:val="28"/>
        </w:rPr>
      </w:pPr>
      <w:r w:rsidRPr="0B501DA4">
        <w:rPr>
          <w:rFonts w:ascii="Century Gothic" w:eastAsia="Century Gothic" w:hAnsi="Century Gothic" w:cs="Century Gothic"/>
          <w:b/>
          <w:bCs/>
          <w:caps/>
          <w:color w:val="008000"/>
          <w:spacing w:val="-5"/>
          <w:sz w:val="28"/>
          <w:szCs w:val="28"/>
        </w:rPr>
        <w:t>Comunicado de Imprensa</w:t>
      </w:r>
    </w:p>
    <w:p w14:paraId="672A6659" w14:textId="77777777" w:rsidR="006801B2" w:rsidRDefault="006801B2">
      <w:pPr>
        <w:spacing w:after="0" w:line="240" w:lineRule="auto"/>
        <w:rPr>
          <w:rFonts w:ascii="Century Gothic" w:eastAsia="Century Gothic" w:hAnsi="Century Gothic" w:cs="Century Gothic"/>
          <w:spacing w:val="-5"/>
          <w:sz w:val="18"/>
        </w:rPr>
      </w:pPr>
    </w:p>
    <w:p w14:paraId="0A37501D" w14:textId="77777777" w:rsidR="006801B2" w:rsidRDefault="006801B2">
      <w:pPr>
        <w:spacing w:after="0" w:line="240" w:lineRule="auto"/>
        <w:rPr>
          <w:rFonts w:ascii="Century Gothic" w:eastAsia="Century Gothic" w:hAnsi="Century Gothic" w:cs="Century Gothic"/>
          <w:spacing w:val="-5"/>
          <w:sz w:val="18"/>
        </w:rPr>
      </w:pPr>
    </w:p>
    <w:p w14:paraId="2A8F0676" w14:textId="159789EB" w:rsidR="006801B2" w:rsidRDefault="2ADBFAEB" w:rsidP="0B501DA4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</w:rPr>
      </w:pPr>
      <w:bookmarkStart w:id="0" w:name="_Int_jXqkPHAm"/>
      <w:r w:rsidRPr="0B501DA4">
        <w:rPr>
          <w:rFonts w:ascii="Century Gothic" w:eastAsia="Century Gothic" w:hAnsi="Century Gothic" w:cs="Century Gothic"/>
          <w:b/>
          <w:bCs/>
          <w:caps/>
          <w:color w:val="008000"/>
          <w:spacing w:val="20"/>
          <w:sz w:val="44"/>
          <w:szCs w:val="44"/>
        </w:rPr>
        <w:t>Resultados</w:t>
      </w:r>
      <w:r w:rsidR="1390406B" w:rsidRPr="0B501DA4">
        <w:rPr>
          <w:rFonts w:ascii="Century Gothic" w:eastAsia="Century Gothic" w:hAnsi="Century Gothic" w:cs="Century Gothic"/>
          <w:b/>
          <w:bCs/>
          <w:caps/>
          <w:color w:val="008000"/>
          <w:spacing w:val="20"/>
          <w:sz w:val="44"/>
          <w:szCs w:val="44"/>
        </w:rPr>
        <w:t xml:space="preserve"> </w:t>
      </w:r>
      <w:r w:rsidR="6E039873" w:rsidRPr="0B501DA4">
        <w:rPr>
          <w:rFonts w:ascii="Century Gothic" w:eastAsia="Century Gothic" w:hAnsi="Century Gothic" w:cs="Century Gothic"/>
          <w:b/>
          <w:bCs/>
          <w:caps/>
          <w:color w:val="008000"/>
          <w:spacing w:val="20"/>
          <w:sz w:val="44"/>
          <w:szCs w:val="44"/>
        </w:rPr>
        <w:t>Primeiro</w:t>
      </w:r>
      <w:bookmarkEnd w:id="0"/>
      <w:r w:rsidR="1390406B" w:rsidRPr="0B501DA4">
        <w:rPr>
          <w:rFonts w:ascii="Century Gothic" w:eastAsia="Century Gothic" w:hAnsi="Century Gothic" w:cs="Century Gothic"/>
          <w:b/>
          <w:bCs/>
          <w:caps/>
          <w:color w:val="008000"/>
          <w:spacing w:val="20"/>
          <w:sz w:val="44"/>
          <w:szCs w:val="44"/>
        </w:rPr>
        <w:t xml:space="preserve"> SEMESTRE 2024-25</w:t>
      </w:r>
    </w:p>
    <w:p w14:paraId="5DAB6C7B" w14:textId="77777777" w:rsidR="006801B2" w:rsidRDefault="006801B2">
      <w:pPr>
        <w:spacing w:after="120" w:line="240" w:lineRule="auto"/>
        <w:ind w:left="714"/>
        <w:rPr>
          <w:rFonts w:ascii="Century Gothic" w:eastAsia="Century Gothic" w:hAnsi="Century Gothic" w:cs="Century Gothic"/>
          <w:i/>
          <w:color w:val="008000"/>
          <w:spacing w:val="-5"/>
        </w:rPr>
      </w:pPr>
    </w:p>
    <w:p w14:paraId="02EB378F" w14:textId="77777777" w:rsidR="006801B2" w:rsidRDefault="006801B2">
      <w:pPr>
        <w:spacing w:after="120" w:line="240" w:lineRule="auto"/>
        <w:ind w:left="714"/>
        <w:rPr>
          <w:rFonts w:ascii="Century Gothic" w:eastAsia="Century Gothic" w:hAnsi="Century Gothic" w:cs="Century Gothic"/>
          <w:i/>
          <w:color w:val="008000"/>
          <w:spacing w:val="-5"/>
        </w:rPr>
      </w:pPr>
    </w:p>
    <w:p w14:paraId="6A05A809" w14:textId="77777777" w:rsidR="006801B2" w:rsidRDefault="006801B2">
      <w:pPr>
        <w:spacing w:after="120" w:line="240" w:lineRule="auto"/>
        <w:ind w:left="714"/>
        <w:rPr>
          <w:rFonts w:ascii="Century Gothic" w:eastAsia="Century Gothic" w:hAnsi="Century Gothic" w:cs="Century Gothic"/>
          <w:i/>
          <w:color w:val="008000"/>
          <w:spacing w:val="-5"/>
        </w:rPr>
      </w:pPr>
    </w:p>
    <w:p w14:paraId="5A39BBE3" w14:textId="4580458C" w:rsidR="006801B2" w:rsidRDefault="00F3225D" w:rsidP="00F3225D">
      <w:pPr>
        <w:pStyle w:val="Prrafodelista"/>
        <w:numPr>
          <w:ilvl w:val="0"/>
          <w:numId w:val="1"/>
        </w:numPr>
        <w:spacing w:after="120" w:line="240" w:lineRule="auto"/>
        <w:rPr>
          <w:rFonts w:ascii="Century Gothic" w:eastAsia="Century Gothic" w:hAnsi="Century Gothic" w:cs="Century Gothic"/>
          <w:i/>
          <w:color w:val="008000"/>
          <w:spacing w:val="-5"/>
        </w:rPr>
      </w:pPr>
      <w:r w:rsidRPr="00F3225D">
        <w:rPr>
          <w:rFonts w:ascii="Century Gothic" w:eastAsia="Century Gothic" w:hAnsi="Century Gothic" w:cs="Century Gothic"/>
          <w:i/>
          <w:color w:val="008000"/>
          <w:spacing w:val="-5"/>
        </w:rPr>
        <w:t>O El Corte Inglés fechou o primeiro semestre do exercício fiscal de 2024-2025 com um volume global de negócios de 8.041 milhões de euros</w:t>
      </w:r>
      <w:r>
        <w:rPr>
          <w:rFonts w:ascii="Century Gothic" w:eastAsia="Century Gothic" w:hAnsi="Century Gothic" w:cs="Century Gothic"/>
          <w:i/>
          <w:color w:val="008000"/>
          <w:spacing w:val="-5"/>
        </w:rPr>
        <w:t>.</w:t>
      </w:r>
    </w:p>
    <w:p w14:paraId="1A270989" w14:textId="77777777" w:rsidR="00F3225D" w:rsidRDefault="00F3225D" w:rsidP="00F3225D">
      <w:pPr>
        <w:pStyle w:val="Prrafodelista"/>
        <w:spacing w:after="120" w:line="240" w:lineRule="auto"/>
        <w:ind w:left="1434"/>
        <w:rPr>
          <w:rFonts w:ascii="Century Gothic" w:eastAsia="Century Gothic" w:hAnsi="Century Gothic" w:cs="Century Gothic"/>
          <w:i/>
          <w:color w:val="008000"/>
          <w:spacing w:val="-5"/>
        </w:rPr>
      </w:pPr>
    </w:p>
    <w:p w14:paraId="62EBF3C5" w14:textId="465E153D" w:rsidR="006801B2" w:rsidRPr="00F3225D" w:rsidRDefault="00F3225D" w:rsidP="00F3225D">
      <w:pPr>
        <w:pStyle w:val="Prrafodelista"/>
        <w:numPr>
          <w:ilvl w:val="0"/>
          <w:numId w:val="1"/>
        </w:numPr>
        <w:spacing w:after="120" w:line="240" w:lineRule="auto"/>
        <w:rPr>
          <w:rFonts w:ascii="Century Gothic" w:eastAsia="Century Gothic" w:hAnsi="Century Gothic" w:cs="Century Gothic"/>
          <w:i/>
          <w:color w:val="008000"/>
          <w:spacing w:val="-5"/>
        </w:rPr>
      </w:pPr>
      <w:r w:rsidRPr="00F3225D">
        <w:rPr>
          <w:rFonts w:ascii="Century Gothic" w:eastAsia="Century Gothic" w:hAnsi="Century Gothic" w:cs="Century Gothic"/>
          <w:i/>
          <w:color w:val="008000"/>
          <w:spacing w:val="-5"/>
        </w:rPr>
        <w:t>Esta evolução positiva permitiu ao Grupo registar crescimentos de dois dígitos nas principais alíneas como o EBITDA, que alcança 520 M€ e representa um crescimento de 12,3%</w:t>
      </w:r>
      <w:r>
        <w:rPr>
          <w:rFonts w:ascii="Century Gothic" w:eastAsia="Century Gothic" w:hAnsi="Century Gothic" w:cs="Century Gothic"/>
          <w:i/>
          <w:color w:val="008000"/>
          <w:spacing w:val="-5"/>
        </w:rPr>
        <w:t>.</w:t>
      </w:r>
    </w:p>
    <w:p w14:paraId="4415A66A" w14:textId="696F77C5" w:rsidR="006801B2" w:rsidRDefault="066612EB" w:rsidP="0B501DA4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i/>
          <w:iCs/>
          <w:sz w:val="16"/>
          <w:szCs w:val="16"/>
        </w:rPr>
      </w:pPr>
      <w:r>
        <w:rPr>
          <w:noProof/>
        </w:rPr>
        <w:drawing>
          <wp:inline distT="0" distB="0" distL="0" distR="0" wp14:anchorId="2E063F25" wp14:editId="65626AC8">
            <wp:extent cx="5715000" cy="3848100"/>
            <wp:effectExtent l="0" t="0" r="0" b="0"/>
            <wp:docPr id="877282617" name="Imagen 877282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3658">
        <w:br/>
      </w:r>
      <w:r w:rsidR="1390406B" w:rsidRPr="0B501DA4">
        <w:rPr>
          <w:rFonts w:ascii="Times New Roman" w:eastAsia="Times New Roman" w:hAnsi="Times New Roman" w:cs="Times New Roman"/>
          <w:i/>
          <w:iCs/>
          <w:sz w:val="16"/>
          <w:szCs w:val="16"/>
        </w:rPr>
        <w:t>Imagem da campanha de Primavera de Moda Mulher</w:t>
      </w:r>
    </w:p>
    <w:p w14:paraId="6D98A12B" w14:textId="77777777" w:rsidR="006801B2" w:rsidRDefault="006801B2">
      <w:pPr>
        <w:spacing w:after="120" w:line="480" w:lineRule="auto"/>
        <w:jc w:val="both"/>
        <w:rPr>
          <w:rFonts w:ascii="Century Gothic" w:eastAsia="Century Gothic" w:hAnsi="Century Gothic" w:cs="Century Gothic"/>
        </w:rPr>
      </w:pPr>
    </w:p>
    <w:p w14:paraId="1FDB4F62" w14:textId="77777777" w:rsidR="006801B2" w:rsidRDefault="00963658">
      <w:pPr>
        <w:spacing w:after="120" w:line="360" w:lineRule="auto"/>
        <w:jc w:val="both"/>
        <w:rPr>
          <w:rFonts w:ascii="Century Gothic" w:eastAsia="Century Gothic" w:hAnsi="Century Gothic" w:cs="Century Gothic"/>
          <w:i/>
          <w:color w:val="2A5A78"/>
          <w:spacing w:val="-5"/>
          <w:sz w:val="20"/>
        </w:rPr>
      </w:pPr>
      <w:r>
        <w:rPr>
          <w:rFonts w:ascii="Century Gothic" w:eastAsia="Century Gothic" w:hAnsi="Century Gothic" w:cs="Century Gothic"/>
          <w:b/>
        </w:rPr>
        <w:t>Madrid, 12 de novembro de 2024:</w:t>
      </w:r>
      <w:r>
        <w:rPr>
          <w:rFonts w:ascii="Century Gothic" w:eastAsia="Century Gothic" w:hAnsi="Century Gothic" w:cs="Century Gothic"/>
          <w:sz w:val="20"/>
        </w:rPr>
        <w:t xml:space="preserve"> </w:t>
      </w:r>
      <w:bookmarkStart w:id="1" w:name="_Hlk182313360"/>
      <w:r>
        <w:rPr>
          <w:rFonts w:ascii="Century Gothic" w:eastAsia="Century Gothic" w:hAnsi="Century Gothic" w:cs="Century Gothic"/>
          <w:sz w:val="20"/>
        </w:rPr>
        <w:t xml:space="preserve">O El Corte Inglés fechou o primeiro semestre do exercício fiscal de 2024-2025 com um volume global de negócios de 8.041 milhões de euros </w:t>
      </w:r>
      <w:bookmarkEnd w:id="1"/>
      <w:r>
        <w:rPr>
          <w:rFonts w:ascii="Century Gothic" w:eastAsia="Century Gothic" w:hAnsi="Century Gothic" w:cs="Century Gothic"/>
          <w:sz w:val="20"/>
        </w:rPr>
        <w:t>e uma substancial melhoria de resultados em todas as suas áreas de negócio.</w:t>
      </w:r>
      <w:r>
        <w:rPr>
          <w:rFonts w:ascii="Century Gothic" w:eastAsia="Century Gothic" w:hAnsi="Century Gothic" w:cs="Century Gothic"/>
          <w:color w:val="2A5A78"/>
          <w:spacing w:val="-5"/>
          <w:sz w:val="20"/>
        </w:rPr>
        <w:t xml:space="preserve"> </w:t>
      </w:r>
    </w:p>
    <w:p w14:paraId="073021ED" w14:textId="650F19AD" w:rsidR="006801B2" w:rsidRDefault="1390406B" w:rsidP="0B501DA4">
      <w:pPr>
        <w:spacing w:after="220" w:line="36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B501DA4">
        <w:rPr>
          <w:rFonts w:ascii="Century Gothic" w:eastAsia="Century Gothic" w:hAnsi="Century Gothic" w:cs="Century Gothic"/>
          <w:sz w:val="20"/>
          <w:szCs w:val="20"/>
        </w:rPr>
        <w:t xml:space="preserve">Esta </w:t>
      </w:r>
      <w:r w:rsidR="0D1E892E" w:rsidRPr="0B501DA4">
        <w:rPr>
          <w:rFonts w:ascii="Century Gothic" w:eastAsia="Century Gothic" w:hAnsi="Century Gothic" w:cs="Century Gothic"/>
          <w:sz w:val="20"/>
          <w:szCs w:val="20"/>
        </w:rPr>
        <w:t>evolução</w:t>
      </w:r>
      <w:r w:rsidRPr="0B501DA4">
        <w:rPr>
          <w:rFonts w:ascii="Century Gothic" w:eastAsia="Century Gothic" w:hAnsi="Century Gothic" w:cs="Century Gothic"/>
          <w:sz w:val="20"/>
          <w:szCs w:val="20"/>
        </w:rPr>
        <w:t xml:space="preserve"> positiva permitiu ao Grupo registar crescimentos de dois dígitos nas principais alíneas como o </w:t>
      </w:r>
      <w:r w:rsidR="42D1A85D" w:rsidRPr="0B501DA4">
        <w:rPr>
          <w:rFonts w:ascii="Century Gothic" w:eastAsia="Century Gothic" w:hAnsi="Century Gothic" w:cs="Century Gothic"/>
          <w:sz w:val="20"/>
          <w:szCs w:val="20"/>
        </w:rPr>
        <w:t>EBITDA</w:t>
      </w:r>
      <w:r w:rsidRPr="0B501DA4">
        <w:rPr>
          <w:rFonts w:ascii="Century Gothic" w:eastAsia="Century Gothic" w:hAnsi="Century Gothic" w:cs="Century Gothic"/>
          <w:sz w:val="20"/>
          <w:szCs w:val="20"/>
        </w:rPr>
        <w:t>, que alcança 520 M€ e representa um crescimento de 12,3%; o lucro líquido, que se situou nos 203 M€, e cresceu 11%; e o lucro líquido corrente de 158 M€, mais 38,4% que no exercício anterior.</w:t>
      </w:r>
    </w:p>
    <w:p w14:paraId="57E5B891" w14:textId="77777777" w:rsidR="006801B2" w:rsidRDefault="00963658">
      <w:pPr>
        <w:spacing w:after="220" w:line="360" w:lineRule="auto"/>
        <w:jc w:val="both"/>
        <w:rPr>
          <w:rFonts w:ascii="Century Gothic" w:eastAsia="Century Gothic" w:hAnsi="Century Gothic" w:cs="Century Gothic"/>
          <w:sz w:val="20"/>
        </w:rPr>
      </w:pPr>
      <w:r>
        <w:rPr>
          <w:rFonts w:ascii="Century Gothic" w:eastAsia="Century Gothic" w:hAnsi="Century Gothic" w:cs="Century Gothic"/>
          <w:sz w:val="20"/>
        </w:rPr>
        <w:t>O negócio de retail do El Corte Inglés obteve um crescimento de 3,2% em termos comparáveis, com bom comportamento das margens, especialmente na marca própria de casa e decoração e moda. Tiveram igualmente um desempenho positivo as vendas de marcas externas.</w:t>
      </w:r>
    </w:p>
    <w:p w14:paraId="265BEAC1" w14:textId="2EA09ADE" w:rsidR="006801B2" w:rsidRDefault="1390406B" w:rsidP="0B501DA4">
      <w:pPr>
        <w:spacing w:after="220" w:line="36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B501DA4">
        <w:rPr>
          <w:rFonts w:ascii="Century Gothic" w:eastAsia="Century Gothic" w:hAnsi="Century Gothic" w:cs="Century Gothic"/>
          <w:sz w:val="20"/>
          <w:szCs w:val="20"/>
        </w:rPr>
        <w:t>Neste sentido, destacam-se a coleção de moda da campanha primavera/verão, que tiveram um acolhimento muito positivo por parte dos clientes El Corte Ing</w:t>
      </w:r>
      <w:r w:rsidR="66EFDEE3" w:rsidRPr="0B501DA4">
        <w:rPr>
          <w:rFonts w:ascii="Century Gothic" w:eastAsia="Century Gothic" w:hAnsi="Century Gothic" w:cs="Century Gothic"/>
          <w:sz w:val="20"/>
          <w:szCs w:val="20"/>
        </w:rPr>
        <w:t>l</w:t>
      </w:r>
      <w:r w:rsidRPr="0B501DA4">
        <w:rPr>
          <w:rFonts w:ascii="Century Gothic" w:eastAsia="Century Gothic" w:hAnsi="Century Gothic" w:cs="Century Gothic"/>
          <w:sz w:val="20"/>
          <w:szCs w:val="20"/>
        </w:rPr>
        <w:t>és, tanto nas lojas físicas como on-line.</w:t>
      </w:r>
    </w:p>
    <w:p w14:paraId="36470D69" w14:textId="277EDDD1" w:rsidR="006801B2" w:rsidRDefault="1390406B" w:rsidP="0B501DA4">
      <w:pPr>
        <w:spacing w:after="220" w:line="36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B501DA4">
        <w:rPr>
          <w:rFonts w:ascii="Century Gothic" w:eastAsia="Century Gothic" w:hAnsi="Century Gothic" w:cs="Century Gothic"/>
          <w:sz w:val="20"/>
          <w:szCs w:val="20"/>
        </w:rPr>
        <w:t>As vendas de Viagens El Corte Inglés cresce</w:t>
      </w:r>
      <w:r w:rsidR="0876148F" w:rsidRPr="0B501DA4">
        <w:rPr>
          <w:rFonts w:ascii="Century Gothic" w:eastAsia="Century Gothic" w:hAnsi="Century Gothic" w:cs="Century Gothic"/>
          <w:sz w:val="20"/>
          <w:szCs w:val="20"/>
        </w:rPr>
        <w:t>r</w:t>
      </w:r>
      <w:r w:rsidRPr="0B501DA4">
        <w:rPr>
          <w:rFonts w:ascii="Century Gothic" w:eastAsia="Century Gothic" w:hAnsi="Century Gothic" w:cs="Century Gothic"/>
          <w:sz w:val="20"/>
          <w:szCs w:val="20"/>
        </w:rPr>
        <w:t>am 6,1%, pelo que a empresa consolida a sua posi</w:t>
      </w:r>
      <w:r w:rsidR="300A2594" w:rsidRPr="0B501DA4">
        <w:rPr>
          <w:rFonts w:ascii="Century Gothic" w:eastAsia="Century Gothic" w:hAnsi="Century Gothic" w:cs="Century Gothic"/>
          <w:sz w:val="20"/>
          <w:szCs w:val="20"/>
        </w:rPr>
        <w:t>ção</w:t>
      </w:r>
      <w:r w:rsidRPr="0B501DA4">
        <w:rPr>
          <w:rFonts w:ascii="Century Gothic" w:eastAsia="Century Gothic" w:hAnsi="Century Gothic" w:cs="Century Gothic"/>
          <w:sz w:val="20"/>
          <w:szCs w:val="20"/>
        </w:rPr>
        <w:t xml:space="preserve"> de liderança no segmento </w:t>
      </w:r>
      <w:r w:rsidR="632D0128" w:rsidRPr="0B501DA4">
        <w:rPr>
          <w:rFonts w:ascii="Century Gothic" w:eastAsia="Century Gothic" w:hAnsi="Century Gothic" w:cs="Century Gothic"/>
          <w:sz w:val="20"/>
          <w:szCs w:val="20"/>
        </w:rPr>
        <w:t>de lazer</w:t>
      </w:r>
      <w:r w:rsidRPr="0B501DA4">
        <w:rPr>
          <w:rFonts w:ascii="Century Gothic" w:eastAsia="Century Gothic" w:hAnsi="Century Gothic" w:cs="Century Gothic"/>
          <w:sz w:val="20"/>
          <w:szCs w:val="20"/>
        </w:rPr>
        <w:t xml:space="preserve">, onde o crescimento foi de </w:t>
      </w:r>
      <w:r w:rsidR="4C87C73C" w:rsidRPr="0B501DA4">
        <w:rPr>
          <w:rFonts w:ascii="Century Gothic" w:eastAsia="Century Gothic" w:hAnsi="Century Gothic" w:cs="Century Gothic"/>
          <w:sz w:val="20"/>
          <w:szCs w:val="20"/>
        </w:rPr>
        <w:t>1</w:t>
      </w:r>
      <w:r w:rsidRPr="0B501DA4">
        <w:rPr>
          <w:rFonts w:ascii="Century Gothic" w:eastAsia="Century Gothic" w:hAnsi="Century Gothic" w:cs="Century Gothic"/>
          <w:sz w:val="20"/>
          <w:szCs w:val="20"/>
        </w:rPr>
        <w:t xml:space="preserve">0,3%. </w:t>
      </w:r>
    </w:p>
    <w:p w14:paraId="629313E1" w14:textId="0052D2CD" w:rsidR="006801B2" w:rsidRDefault="1390406B" w:rsidP="0B501DA4">
      <w:pPr>
        <w:spacing w:after="220" w:line="36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B501DA4">
        <w:rPr>
          <w:rFonts w:ascii="Century Gothic" w:eastAsia="Century Gothic" w:hAnsi="Century Gothic" w:cs="Century Gothic"/>
          <w:sz w:val="20"/>
          <w:szCs w:val="20"/>
        </w:rPr>
        <w:t>No que respeita aos negócios financeiros, continuam a consolidar-se nos seus respetivos sectores de actividade e a reforçar a oferta de produtos: Seguros El Corte Inglés cresce 6,1%, para os 137 mil</w:t>
      </w:r>
      <w:r w:rsidR="43ECC189" w:rsidRPr="0B501DA4">
        <w:rPr>
          <w:rFonts w:ascii="Century Gothic" w:eastAsia="Century Gothic" w:hAnsi="Century Gothic" w:cs="Century Gothic"/>
          <w:sz w:val="20"/>
          <w:szCs w:val="20"/>
        </w:rPr>
        <w:t xml:space="preserve">hões </w:t>
      </w:r>
      <w:r w:rsidRPr="0B501DA4">
        <w:rPr>
          <w:rFonts w:ascii="Century Gothic" w:eastAsia="Century Gothic" w:hAnsi="Century Gothic" w:cs="Century Gothic"/>
          <w:sz w:val="20"/>
          <w:szCs w:val="20"/>
        </w:rPr>
        <w:t>de euros, Fi</w:t>
      </w:r>
      <w:r w:rsidR="619293A7" w:rsidRPr="0B501DA4">
        <w:rPr>
          <w:rFonts w:ascii="Century Gothic" w:eastAsia="Century Gothic" w:hAnsi="Century Gothic" w:cs="Century Gothic"/>
          <w:sz w:val="20"/>
          <w:szCs w:val="20"/>
        </w:rPr>
        <w:t xml:space="preserve">nanceira </w:t>
      </w:r>
      <w:r w:rsidRPr="0B501DA4">
        <w:rPr>
          <w:rFonts w:ascii="Century Gothic" w:eastAsia="Century Gothic" w:hAnsi="Century Gothic" w:cs="Century Gothic"/>
          <w:sz w:val="20"/>
          <w:szCs w:val="20"/>
        </w:rPr>
        <w:t>El Corte Inglés regista um aumento do seu volume d</w:t>
      </w:r>
      <w:r w:rsidR="022FF409" w:rsidRPr="0B501DA4">
        <w:rPr>
          <w:rFonts w:ascii="Century Gothic" w:eastAsia="Century Gothic" w:hAnsi="Century Gothic" w:cs="Century Gothic"/>
          <w:sz w:val="20"/>
          <w:szCs w:val="20"/>
        </w:rPr>
        <w:t xml:space="preserve">e </w:t>
      </w:r>
      <w:r w:rsidRPr="0B501DA4">
        <w:rPr>
          <w:rFonts w:ascii="Century Gothic" w:eastAsia="Century Gothic" w:hAnsi="Century Gothic" w:cs="Century Gothic"/>
          <w:sz w:val="20"/>
          <w:szCs w:val="20"/>
        </w:rPr>
        <w:t>negócios de 6,3% e os lucros crescem 61,7%.</w:t>
      </w:r>
    </w:p>
    <w:p w14:paraId="313EFEB9" w14:textId="0A79E7BB" w:rsidR="006801B2" w:rsidRDefault="1390406B" w:rsidP="0B501DA4">
      <w:pPr>
        <w:spacing w:after="220" w:line="36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B501DA4">
        <w:rPr>
          <w:rFonts w:ascii="Century Gothic" w:eastAsia="Century Gothic" w:hAnsi="Century Gothic" w:cs="Century Gothic"/>
          <w:sz w:val="20"/>
          <w:szCs w:val="20"/>
        </w:rPr>
        <w:t>A robustez do Grupo est</w:t>
      </w:r>
      <w:r w:rsidR="77CE4017" w:rsidRPr="0B501DA4">
        <w:rPr>
          <w:rFonts w:ascii="Century Gothic" w:eastAsia="Century Gothic" w:hAnsi="Century Gothic" w:cs="Century Gothic"/>
          <w:sz w:val="20"/>
          <w:szCs w:val="20"/>
        </w:rPr>
        <w:t>á</w:t>
      </w:r>
      <w:r w:rsidRPr="0B501DA4">
        <w:rPr>
          <w:rFonts w:ascii="Century Gothic" w:eastAsia="Century Gothic" w:hAnsi="Century Gothic" w:cs="Century Gothic"/>
          <w:sz w:val="20"/>
          <w:szCs w:val="20"/>
        </w:rPr>
        <w:t xml:space="preserve"> também refletida na diminuição da dívida financeira líquida, que se situa nos 1.933 milhões de euros, o que corresponde a 1,7 vezes o </w:t>
      </w:r>
      <w:r w:rsidR="21ABB669" w:rsidRPr="0B501DA4">
        <w:rPr>
          <w:rFonts w:ascii="Century Gothic" w:eastAsia="Century Gothic" w:hAnsi="Century Gothic" w:cs="Century Gothic"/>
          <w:sz w:val="20"/>
          <w:szCs w:val="20"/>
        </w:rPr>
        <w:t>EBITDA</w:t>
      </w:r>
      <w:r w:rsidRPr="0B501DA4">
        <w:rPr>
          <w:rFonts w:ascii="Century Gothic" w:eastAsia="Century Gothic" w:hAnsi="Century Gothic" w:cs="Century Gothic"/>
          <w:sz w:val="20"/>
          <w:szCs w:val="20"/>
        </w:rPr>
        <w:t xml:space="preserve">. Em termos absolutos, a dívida 195 milhões de euros desde agosto de 2023. </w:t>
      </w:r>
    </w:p>
    <w:p w14:paraId="17D60233" w14:textId="43CFC165" w:rsidR="006801B2" w:rsidRDefault="1390406B" w:rsidP="0B501DA4">
      <w:pPr>
        <w:spacing w:after="220" w:line="36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B501DA4">
        <w:rPr>
          <w:rFonts w:ascii="Century Gothic" w:eastAsia="Century Gothic" w:hAnsi="Century Gothic" w:cs="Century Gothic"/>
          <w:sz w:val="20"/>
          <w:szCs w:val="20"/>
        </w:rPr>
        <w:t>O semestre foi ainda marcado por um sólido desempenho em todos as áreas, com um crescimento do volume de ne</w:t>
      </w:r>
      <w:r w:rsidR="36DF4E5C" w:rsidRPr="0B501DA4">
        <w:rPr>
          <w:rFonts w:ascii="Century Gothic" w:eastAsia="Century Gothic" w:hAnsi="Century Gothic" w:cs="Century Gothic"/>
          <w:sz w:val="20"/>
          <w:szCs w:val="20"/>
        </w:rPr>
        <w:t>g</w:t>
      </w:r>
      <w:r w:rsidRPr="0B501DA4">
        <w:rPr>
          <w:rFonts w:ascii="Century Gothic" w:eastAsia="Century Gothic" w:hAnsi="Century Gothic" w:cs="Century Gothic"/>
          <w:sz w:val="20"/>
          <w:szCs w:val="20"/>
        </w:rPr>
        <w:t>ócios de 3,6% em termos comparáveis, uma melhoria significativa da rentabilidade e diminuição da alavancagem.</w:t>
      </w:r>
    </w:p>
    <w:p w14:paraId="17C142F9" w14:textId="77777777" w:rsidR="006801B2" w:rsidRDefault="00963658">
      <w:pPr>
        <w:spacing w:after="220" w:line="360" w:lineRule="auto"/>
        <w:jc w:val="both"/>
        <w:rPr>
          <w:rFonts w:ascii="Century Gothic" w:eastAsia="Century Gothic" w:hAnsi="Century Gothic" w:cs="Century Gothic"/>
          <w:sz w:val="20"/>
        </w:rPr>
      </w:pPr>
      <w:r>
        <w:rPr>
          <w:rFonts w:ascii="Century Gothic" w:eastAsia="Century Gothic" w:hAnsi="Century Gothic" w:cs="Century Gothic"/>
          <w:sz w:val="20"/>
        </w:rPr>
        <w:t xml:space="preserve">A solidez do balaço e da criação de fluxos de caixa nestes primeiros seis meses não só permitiram a redução da dívida como a manutenção dos investimentos em diferentes áreas de crescimento do Grupo. </w:t>
      </w:r>
    </w:p>
    <w:p w14:paraId="7D04AAF0" w14:textId="2FEBD93E" w:rsidR="006801B2" w:rsidRDefault="1390406B" w:rsidP="0B501DA4">
      <w:pPr>
        <w:spacing w:after="220" w:line="36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B501DA4">
        <w:rPr>
          <w:rFonts w:ascii="Century Gothic" w:eastAsia="Century Gothic" w:hAnsi="Century Gothic" w:cs="Century Gothic"/>
          <w:sz w:val="20"/>
          <w:szCs w:val="20"/>
        </w:rPr>
        <w:t xml:space="preserve">As várias campanhas comerciais a decorrer neste outono têm consolidado a </w:t>
      </w:r>
      <w:r w:rsidR="63105019" w:rsidRPr="0B501DA4">
        <w:rPr>
          <w:rFonts w:ascii="Century Gothic" w:eastAsia="Century Gothic" w:hAnsi="Century Gothic" w:cs="Century Gothic"/>
          <w:sz w:val="20"/>
          <w:szCs w:val="20"/>
        </w:rPr>
        <w:t>tendência</w:t>
      </w:r>
      <w:r w:rsidRPr="0B501DA4">
        <w:rPr>
          <w:rFonts w:ascii="Century Gothic" w:eastAsia="Century Gothic" w:hAnsi="Century Gothic" w:cs="Century Gothic"/>
          <w:sz w:val="20"/>
          <w:szCs w:val="20"/>
        </w:rPr>
        <w:t xml:space="preserve"> positiva registada neste primeiro semestre do exercício.</w:t>
      </w:r>
    </w:p>
    <w:p w14:paraId="2946DB82" w14:textId="77777777" w:rsidR="006801B2" w:rsidRDefault="006801B2">
      <w:pPr>
        <w:spacing w:after="220" w:line="360" w:lineRule="auto"/>
        <w:jc w:val="both"/>
        <w:rPr>
          <w:rFonts w:ascii="Century Gothic" w:eastAsia="Century Gothic" w:hAnsi="Century Gothic" w:cs="Century Gothic"/>
          <w:sz w:val="20"/>
        </w:rPr>
      </w:pPr>
    </w:p>
    <w:p w14:paraId="5997CC1D" w14:textId="67C41B3C" w:rsidR="006801B2" w:rsidRDefault="71C4E11F" w:rsidP="0B501DA4">
      <w:pPr>
        <w:spacing w:after="220" w:line="480" w:lineRule="auto"/>
        <w:jc w:val="center"/>
      </w:pPr>
      <w:r>
        <w:rPr>
          <w:noProof/>
        </w:rPr>
        <w:drawing>
          <wp:inline distT="0" distB="0" distL="0" distR="0" wp14:anchorId="102F4915" wp14:editId="103185AA">
            <wp:extent cx="5029200" cy="3057525"/>
            <wp:effectExtent l="0" t="0" r="0" b="0"/>
            <wp:docPr id="891375480" name="Imagen 891375480" descr="Tabl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3658">
        <w:br/>
      </w:r>
    </w:p>
    <w:p w14:paraId="110FFD37" w14:textId="77777777" w:rsidR="006801B2" w:rsidRDefault="006801B2" w:rsidP="0B501DA4">
      <w:pPr>
        <w:spacing w:after="220" w:line="480" w:lineRule="auto"/>
        <w:rPr>
          <w:rFonts w:ascii="Century Gothic" w:eastAsia="Century Gothic" w:hAnsi="Century Gothic" w:cs="Century Gothic"/>
          <w:sz w:val="20"/>
          <w:szCs w:val="20"/>
        </w:rPr>
      </w:pPr>
    </w:p>
    <w:sectPr w:rsidR="006801B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jXqkPHAm" int2:invalidationBookmarkName="" int2:hashCode="C4RLOgNMPnD6eI" int2:id="F3bvo8Mc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B402E2"/>
    <w:multiLevelType w:val="hybridMultilevel"/>
    <w:tmpl w:val="A3F8FFB4"/>
    <w:lvl w:ilvl="0" w:tplc="0C0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 w16cid:durableId="36595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1B2"/>
    <w:rsid w:val="00182614"/>
    <w:rsid w:val="005356FF"/>
    <w:rsid w:val="006801B2"/>
    <w:rsid w:val="006E5194"/>
    <w:rsid w:val="00963658"/>
    <w:rsid w:val="00F3225D"/>
    <w:rsid w:val="01834583"/>
    <w:rsid w:val="022FF409"/>
    <w:rsid w:val="066612EB"/>
    <w:rsid w:val="0876148F"/>
    <w:rsid w:val="0B501DA4"/>
    <w:rsid w:val="0D1E892E"/>
    <w:rsid w:val="126F8721"/>
    <w:rsid w:val="1390406B"/>
    <w:rsid w:val="19A0E6F4"/>
    <w:rsid w:val="1AC32E01"/>
    <w:rsid w:val="1CB678D5"/>
    <w:rsid w:val="21ABB669"/>
    <w:rsid w:val="2ADBFAEB"/>
    <w:rsid w:val="300A2594"/>
    <w:rsid w:val="36DF4E5C"/>
    <w:rsid w:val="3C219E0A"/>
    <w:rsid w:val="42D1A85D"/>
    <w:rsid w:val="437CC957"/>
    <w:rsid w:val="43ECC189"/>
    <w:rsid w:val="44036483"/>
    <w:rsid w:val="479328A8"/>
    <w:rsid w:val="4C87C73C"/>
    <w:rsid w:val="55040C10"/>
    <w:rsid w:val="5795549C"/>
    <w:rsid w:val="5A3FDC9C"/>
    <w:rsid w:val="619293A7"/>
    <w:rsid w:val="63105019"/>
    <w:rsid w:val="632D0128"/>
    <w:rsid w:val="63A64409"/>
    <w:rsid w:val="66EFDEE3"/>
    <w:rsid w:val="6E039873"/>
    <w:rsid w:val="71C4E11F"/>
    <w:rsid w:val="75FE0062"/>
    <w:rsid w:val="77CE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A2C21F"/>
  <w15:docId w15:val="{F14801B8-4C47-4BD4-8934-08E27A1D3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PT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32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11" Target="intelligence2.xml" Type="http://schemas.microsoft.com/office/2020/10/relationships/intelligenc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1.png" Type="http://schemas.openxmlformats.org/officeDocument/2006/relationships/image"/><Relationship Id="rId6" Target="embeddings/oleObject1.bin" Type="http://schemas.openxmlformats.org/officeDocument/2006/relationships/oleObject"/><Relationship Id="rId7" Target="media/image2.png" Type="http://schemas.openxmlformats.org/officeDocument/2006/relationships/image"/><Relationship Id="rId8" Target="media/image3.png" Type="http://schemas.openxmlformats.org/officeDocument/2006/relationships/image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Pages>3</Pages>
  <Words>423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2024-11-12T12:44:00Z</dcterms:created>
  <dcterms:modified xsi:type="dcterms:W3CDTF">2024-11-12T13:23:00Z</dcterms:modified>
  <cp:revision>3</cp:revision>
</cp:coreProperties>
</file>