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14205" w14:textId="0EBF482D" w:rsidR="00066256" w:rsidRDefault="00066256" w:rsidP="00066256">
      <w:pPr>
        <w:pStyle w:val="Ttulo1"/>
        <w:spacing w:before="480"/>
        <w:rPr>
          <w:rFonts w:ascii="Century Gothic" w:hAnsi="Century Gothic"/>
          <w:b/>
          <w:color w:val="008000"/>
          <w:sz w:val="28"/>
          <w:szCs w:val="28"/>
        </w:rPr>
      </w:pPr>
      <w:r w:rsidRPr="00B86682">
        <w:rPr>
          <w:rFonts w:ascii="Century Gothic" w:hAnsi="Century Gothic"/>
          <w:b/>
          <w:color w:val="008000"/>
          <w:sz w:val="28"/>
          <w:szCs w:val="28"/>
        </w:rPr>
        <w:t>COMUNICADO DE PRENSA</w:t>
      </w:r>
    </w:p>
    <w:p w14:paraId="2FD56924" w14:textId="77777777" w:rsidR="00F56425" w:rsidRPr="00F56425" w:rsidRDefault="00F56425" w:rsidP="00F56425"/>
    <w:p w14:paraId="3430E97B" w14:textId="463A7077" w:rsidR="00F56425" w:rsidRPr="00207342" w:rsidRDefault="00E76E96" w:rsidP="00F56425">
      <w:pPr>
        <w:spacing w:before="100" w:beforeAutospacing="1" w:after="100" w:afterAutospacing="1" w:line="300" w:lineRule="atLeast"/>
        <w:ind w:right="-23"/>
        <w:rPr>
          <w:rFonts w:ascii="Century Gothic" w:eastAsia="Times New Roman" w:hAnsi="Century Gothic" w:cs="Segoe UI"/>
          <w:bCs/>
          <w:color w:val="008000"/>
          <w:sz w:val="40"/>
          <w:szCs w:val="40"/>
          <w:lang w:eastAsia="es-ES"/>
        </w:rPr>
      </w:pPr>
      <w:r w:rsidRPr="00207342">
        <w:rPr>
          <w:rFonts w:ascii="Century Gothic" w:eastAsia="Times New Roman" w:hAnsi="Century Gothic" w:cs="Segoe UI"/>
          <w:bCs/>
          <w:color w:val="008000"/>
          <w:sz w:val="40"/>
          <w:szCs w:val="40"/>
          <w:lang w:eastAsia="es-ES"/>
        </w:rPr>
        <w:t xml:space="preserve">El Corte Inglés propone maridajes exclusivos para </w:t>
      </w:r>
      <w:r w:rsidR="0078246D" w:rsidRPr="00207342">
        <w:rPr>
          <w:rFonts w:ascii="Century Gothic" w:eastAsia="Times New Roman" w:hAnsi="Century Gothic" w:cs="Segoe UI"/>
          <w:bCs/>
          <w:color w:val="008000"/>
          <w:sz w:val="40"/>
          <w:szCs w:val="40"/>
          <w:lang w:eastAsia="es-ES"/>
        </w:rPr>
        <w:t>acerta</w:t>
      </w:r>
      <w:r w:rsidRPr="00207342">
        <w:rPr>
          <w:rFonts w:ascii="Century Gothic" w:eastAsia="Times New Roman" w:hAnsi="Century Gothic" w:cs="Segoe UI"/>
          <w:bCs/>
          <w:color w:val="008000"/>
          <w:sz w:val="40"/>
          <w:szCs w:val="40"/>
          <w:lang w:eastAsia="es-ES"/>
        </w:rPr>
        <w:t>r</w:t>
      </w:r>
      <w:r w:rsidR="0078246D" w:rsidRPr="00207342">
        <w:rPr>
          <w:rFonts w:ascii="Century Gothic" w:eastAsia="Times New Roman" w:hAnsi="Century Gothic" w:cs="Segoe UI"/>
          <w:bCs/>
          <w:color w:val="008000"/>
          <w:sz w:val="40"/>
          <w:szCs w:val="40"/>
          <w:lang w:eastAsia="es-ES"/>
        </w:rPr>
        <w:t xml:space="preserve"> en los menús de</w:t>
      </w:r>
      <w:r w:rsidRPr="00207342">
        <w:rPr>
          <w:rFonts w:ascii="Century Gothic" w:eastAsia="Times New Roman" w:hAnsi="Century Gothic" w:cs="Segoe UI"/>
          <w:bCs/>
          <w:color w:val="008000"/>
          <w:sz w:val="40"/>
          <w:szCs w:val="40"/>
          <w:lang w:eastAsia="es-ES"/>
        </w:rPr>
        <w:t xml:space="preserve"> esta Navidad</w:t>
      </w:r>
    </w:p>
    <w:p w14:paraId="1106168A" w14:textId="77777777" w:rsidR="00125769" w:rsidRDefault="00125769" w:rsidP="00125769">
      <w:pPr>
        <w:spacing w:before="120" w:after="120" w:line="360" w:lineRule="auto"/>
        <w:ind w:left="714"/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</w:pPr>
    </w:p>
    <w:p w14:paraId="0EAC3240" w14:textId="48A6E036" w:rsidR="00207342" w:rsidRDefault="0078246D" w:rsidP="00207342">
      <w:pPr>
        <w:numPr>
          <w:ilvl w:val="0"/>
          <w:numId w:val="1"/>
        </w:numPr>
        <w:spacing w:before="120" w:after="120" w:line="360" w:lineRule="auto"/>
        <w:ind w:left="714" w:hanging="357"/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</w:pPr>
      <w:r w:rsidRPr="0078246D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La compañía presenta una selección </w:t>
      </w:r>
      <w:r w:rsidR="00433996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de vinos</w:t>
      </w:r>
      <w:r w:rsidR="00991AE1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y espumosos</w:t>
      </w:r>
      <w:r w:rsidRPr="0078246D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pensada para realza</w:t>
      </w:r>
      <w:r w:rsidR="00433996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r y combinar con</w:t>
      </w:r>
      <w:r w:rsidRPr="0078246D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los platos más tradicionales de las celebraciones navideñas, desde los entrantes hasta los postres.</w:t>
      </w:r>
    </w:p>
    <w:p w14:paraId="399D28A2" w14:textId="4ADB44FC" w:rsidR="001923F4" w:rsidRPr="0078246D" w:rsidRDefault="0078246D" w:rsidP="00207342">
      <w:pPr>
        <w:numPr>
          <w:ilvl w:val="0"/>
          <w:numId w:val="1"/>
        </w:numPr>
        <w:spacing w:before="120" w:after="120" w:line="360" w:lineRule="auto"/>
        <w:ind w:left="714" w:hanging="357"/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</w:pPr>
      <w:r w:rsidRPr="0078246D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Algunos de los vinos se comercializan en exclusiva en El Club del Gourmet de El Corte Inglés, un espacio de referencia que apuesta por</w:t>
      </w: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 </w:t>
      </w:r>
      <w:r w:rsidRPr="0078246D"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 xml:space="preserve">la calidad y </w:t>
      </w:r>
      <w:r>
        <w:rPr>
          <w:rFonts w:ascii="Century Gothic" w:eastAsia="Times New Roman" w:hAnsi="Century Gothic" w:cs="Segoe UI"/>
          <w:i/>
          <w:color w:val="008000"/>
          <w:sz w:val="20"/>
          <w:szCs w:val="20"/>
          <w:lang w:eastAsia="es-ES"/>
        </w:rPr>
        <w:t>una cuidada selección del producto, entre los que destacan ediciones limitadas, bodegas y marcas emblemáticas.</w:t>
      </w:r>
    </w:p>
    <w:p w14:paraId="76C67321" w14:textId="30408E89" w:rsidR="00070B4D" w:rsidRPr="00070B4D" w:rsidRDefault="001C46D6" w:rsidP="00070B4D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E12D4">
        <w:rPr>
          <w:rFonts w:ascii="Century Gothic" w:eastAsia="Times New Roman" w:hAnsi="Century Gothic" w:cs="Segoe UI"/>
          <w:b/>
          <w:lang w:eastAsia="es-ES"/>
        </w:rPr>
        <w:t>Madri</w:t>
      </w:r>
      <w:r w:rsidR="00F92EED" w:rsidRPr="00EE12D4">
        <w:rPr>
          <w:rFonts w:ascii="Century Gothic" w:eastAsia="Times New Roman" w:hAnsi="Century Gothic" w:cs="Segoe UI"/>
          <w:b/>
          <w:lang w:eastAsia="es-ES"/>
        </w:rPr>
        <w:t>d</w:t>
      </w:r>
      <w:r w:rsidRPr="00EE12D4">
        <w:rPr>
          <w:rFonts w:ascii="Century Gothic" w:eastAsia="Times New Roman" w:hAnsi="Century Gothic" w:cs="Segoe UI"/>
          <w:b/>
          <w:lang w:eastAsia="es-ES"/>
        </w:rPr>
        <w:t xml:space="preserve">, </w:t>
      </w:r>
      <w:r w:rsidR="00A31F32" w:rsidRPr="006E45E6">
        <w:rPr>
          <w:rFonts w:ascii="Century Gothic" w:eastAsia="Times New Roman" w:hAnsi="Century Gothic" w:cs="Segoe UI"/>
          <w:b/>
          <w:lang w:eastAsia="es-ES"/>
        </w:rPr>
        <w:t>17</w:t>
      </w:r>
      <w:r w:rsidRPr="00EE12D4">
        <w:rPr>
          <w:rFonts w:ascii="Century Gothic" w:eastAsia="Times New Roman" w:hAnsi="Century Gothic" w:cs="Segoe UI"/>
          <w:b/>
          <w:lang w:eastAsia="es-ES"/>
        </w:rPr>
        <w:t xml:space="preserve"> de di</w:t>
      </w:r>
      <w:r w:rsidR="00F92EED" w:rsidRPr="00EE12D4">
        <w:rPr>
          <w:rFonts w:ascii="Century Gothic" w:eastAsia="Times New Roman" w:hAnsi="Century Gothic" w:cs="Segoe UI"/>
          <w:b/>
          <w:lang w:eastAsia="es-ES"/>
        </w:rPr>
        <w:t>ciembre de 2025</w:t>
      </w:r>
      <w:r w:rsidR="00F92EED" w:rsidRPr="00EE12D4">
        <w:rPr>
          <w:rFonts w:ascii="Century Gothic" w:eastAsia="Times New Roman" w:hAnsi="Century Gothic" w:cs="Segoe UI"/>
          <w:lang w:eastAsia="es-ES"/>
        </w:rPr>
        <w:t xml:space="preserve">: </w:t>
      </w:r>
      <w:r w:rsidR="00070B4D" w:rsidRPr="00070B4D">
        <w:rPr>
          <w:rFonts w:ascii="Century Gothic" w:eastAsia="Times New Roman" w:hAnsi="Century Gothic" w:cs="Segoe UI"/>
          <w:lang w:eastAsia="es-ES"/>
        </w:rPr>
        <w:t xml:space="preserve">El Corte Inglés presenta una </w:t>
      </w:r>
      <w:r w:rsidR="00070B4D" w:rsidRPr="006E45E6">
        <w:rPr>
          <w:rFonts w:ascii="Century Gothic" w:eastAsia="Times New Roman" w:hAnsi="Century Gothic" w:cs="Segoe UI"/>
          <w:b/>
          <w:bCs/>
          <w:lang w:eastAsia="es-ES"/>
        </w:rPr>
        <w:t>exclusiva selección de</w:t>
      </w:r>
      <w:r w:rsidR="00070B4D" w:rsidRPr="00070B4D">
        <w:rPr>
          <w:rFonts w:ascii="Century Gothic" w:eastAsia="Times New Roman" w:hAnsi="Century Gothic" w:cs="Segoe UI"/>
          <w:lang w:eastAsia="es-ES"/>
        </w:rPr>
        <w:t xml:space="preserve"> </w:t>
      </w:r>
      <w:r w:rsidR="00070B4D" w:rsidRPr="006E45E6">
        <w:rPr>
          <w:rFonts w:ascii="Century Gothic" w:eastAsia="Times New Roman" w:hAnsi="Century Gothic" w:cs="Segoe UI"/>
          <w:b/>
          <w:bCs/>
          <w:lang w:eastAsia="es-ES"/>
        </w:rPr>
        <w:t>maridajes</w:t>
      </w:r>
      <w:r w:rsidR="00070B4D" w:rsidRPr="00070B4D">
        <w:rPr>
          <w:rFonts w:ascii="Century Gothic" w:eastAsia="Times New Roman" w:hAnsi="Century Gothic" w:cs="Segoe UI"/>
          <w:lang w:eastAsia="es-ES"/>
        </w:rPr>
        <w:t xml:space="preserve"> para convertir las celebraciones navideñas en auténticas experiencias gastronómicas. </w:t>
      </w:r>
      <w:r w:rsidR="006E45E6">
        <w:rPr>
          <w:rFonts w:ascii="Century Gothic" w:eastAsia="Times New Roman" w:hAnsi="Century Gothic" w:cs="Segoe UI"/>
          <w:lang w:eastAsia="es-ES"/>
        </w:rPr>
        <w:t>L</w:t>
      </w:r>
      <w:r w:rsidR="00070B4D" w:rsidRPr="00070B4D">
        <w:rPr>
          <w:rFonts w:ascii="Century Gothic" w:eastAsia="Times New Roman" w:hAnsi="Century Gothic" w:cs="Segoe UI"/>
          <w:lang w:eastAsia="es-ES"/>
        </w:rPr>
        <w:t xml:space="preserve">a compañía refuerza su apuesta por la </w:t>
      </w:r>
      <w:r w:rsidR="00070B4D" w:rsidRPr="006E45E6">
        <w:rPr>
          <w:rFonts w:ascii="Century Gothic" w:eastAsia="Times New Roman" w:hAnsi="Century Gothic" w:cs="Segoe UI"/>
          <w:b/>
          <w:bCs/>
          <w:lang w:eastAsia="es-ES"/>
        </w:rPr>
        <w:t>calidad y la tradición</w:t>
      </w:r>
      <w:r w:rsidR="00070B4D" w:rsidRPr="00070B4D">
        <w:rPr>
          <w:rFonts w:ascii="Century Gothic" w:eastAsia="Times New Roman" w:hAnsi="Century Gothic" w:cs="Segoe UI"/>
          <w:lang w:eastAsia="es-ES"/>
        </w:rPr>
        <w:t xml:space="preserve">, ofreciendo </w:t>
      </w:r>
      <w:r w:rsidR="00A94BE2">
        <w:rPr>
          <w:rFonts w:ascii="Century Gothic" w:eastAsia="Times New Roman" w:hAnsi="Century Gothic" w:cs="Segoe UI"/>
          <w:lang w:eastAsia="es-ES"/>
        </w:rPr>
        <w:t>sugerencia</w:t>
      </w:r>
      <w:r w:rsidR="00070B4D" w:rsidRPr="00070B4D">
        <w:rPr>
          <w:rFonts w:ascii="Century Gothic" w:eastAsia="Times New Roman" w:hAnsi="Century Gothic" w:cs="Segoe UI"/>
          <w:lang w:eastAsia="es-ES"/>
        </w:rPr>
        <w:t>s diseñadas para realzar los sabores más característicos de los menús típicos de estas fechas</w:t>
      </w:r>
      <w:r w:rsidR="006E45E6">
        <w:rPr>
          <w:rFonts w:ascii="Century Gothic" w:eastAsia="Times New Roman" w:hAnsi="Century Gothic" w:cs="Segoe UI"/>
          <w:lang w:eastAsia="es-ES"/>
        </w:rPr>
        <w:t>, c</w:t>
      </w:r>
      <w:r w:rsidR="006E45E6" w:rsidRPr="00070B4D">
        <w:rPr>
          <w:rFonts w:ascii="Century Gothic" w:eastAsia="Times New Roman" w:hAnsi="Century Gothic" w:cs="Segoe UI"/>
          <w:lang w:eastAsia="es-ES"/>
        </w:rPr>
        <w:t xml:space="preserve">on una bodega que reúne </w:t>
      </w:r>
      <w:r w:rsidR="006E45E6" w:rsidRPr="006E45E6">
        <w:rPr>
          <w:rFonts w:ascii="Century Gothic" w:eastAsia="Times New Roman" w:hAnsi="Century Gothic" w:cs="Segoe UI"/>
          <w:b/>
          <w:bCs/>
          <w:lang w:eastAsia="es-ES"/>
        </w:rPr>
        <w:t>más de 4.000 referencias</w:t>
      </w:r>
      <w:r w:rsidR="006E45E6">
        <w:rPr>
          <w:rFonts w:ascii="Century Gothic" w:eastAsia="Times New Roman" w:hAnsi="Century Gothic" w:cs="Segoe UI"/>
          <w:lang w:eastAsia="es-ES"/>
        </w:rPr>
        <w:t xml:space="preserve"> entre el supermercado de El Corte Inglés, Hipercor, </w:t>
      </w:r>
      <w:proofErr w:type="spellStart"/>
      <w:r w:rsidR="006E45E6">
        <w:rPr>
          <w:rFonts w:ascii="Century Gothic" w:eastAsia="Times New Roman" w:hAnsi="Century Gothic" w:cs="Segoe UI"/>
          <w:lang w:eastAsia="es-ES"/>
        </w:rPr>
        <w:t>Supercor</w:t>
      </w:r>
      <w:proofErr w:type="spellEnd"/>
      <w:r w:rsidR="006E45E6">
        <w:rPr>
          <w:rFonts w:ascii="Century Gothic" w:eastAsia="Times New Roman" w:hAnsi="Century Gothic" w:cs="Segoe UI"/>
          <w:lang w:eastAsia="es-ES"/>
        </w:rPr>
        <w:t xml:space="preserve"> y Club del Gourmet</w:t>
      </w:r>
      <w:r w:rsidR="00070B4D" w:rsidRPr="00070B4D">
        <w:rPr>
          <w:rFonts w:ascii="Century Gothic" w:eastAsia="Times New Roman" w:hAnsi="Century Gothic" w:cs="Segoe UI"/>
          <w:lang w:eastAsia="es-ES"/>
        </w:rPr>
        <w:t>.</w:t>
      </w:r>
    </w:p>
    <w:p w14:paraId="69EA59A7" w14:textId="4D95F22C" w:rsidR="00070B4D" w:rsidRDefault="00070B4D" w:rsidP="00070B4D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070B4D">
        <w:rPr>
          <w:rFonts w:ascii="Century Gothic" w:eastAsia="Times New Roman" w:hAnsi="Century Gothic" w:cs="Segoe UI"/>
          <w:lang w:eastAsia="es-ES"/>
        </w:rPr>
        <w:t xml:space="preserve">La Navidad es uno de los momentos del año en los que la gastronomía cobra mayor protagonismo. Con el objetivo de facilitar la elección del vino </w:t>
      </w:r>
      <w:r w:rsidR="00991AE1">
        <w:rPr>
          <w:rFonts w:ascii="Century Gothic" w:eastAsia="Times New Roman" w:hAnsi="Century Gothic" w:cs="Segoe UI"/>
          <w:lang w:eastAsia="es-ES"/>
        </w:rPr>
        <w:t>idóneo</w:t>
      </w:r>
      <w:r w:rsidRPr="00070B4D">
        <w:rPr>
          <w:rFonts w:ascii="Century Gothic" w:eastAsia="Times New Roman" w:hAnsi="Century Gothic" w:cs="Segoe UI"/>
          <w:lang w:eastAsia="es-ES"/>
        </w:rPr>
        <w:t xml:space="preserve"> para cada plato y elevar la experiencia en la mesa, esta propuesta recorre diferentes opciones, pensadas para acompañar desde entrantes clásicos hasta platos principales y dulces tradicionales, combinando calidad</w:t>
      </w:r>
      <w:r w:rsidR="00A94BE2">
        <w:rPr>
          <w:rFonts w:ascii="Century Gothic" w:eastAsia="Times New Roman" w:hAnsi="Century Gothic" w:cs="Segoe UI"/>
          <w:lang w:eastAsia="es-ES"/>
        </w:rPr>
        <w:t>, autenticidad</w:t>
      </w:r>
      <w:r w:rsidRPr="00070B4D">
        <w:rPr>
          <w:rFonts w:ascii="Century Gothic" w:eastAsia="Times New Roman" w:hAnsi="Century Gothic" w:cs="Segoe UI"/>
          <w:lang w:eastAsia="es-ES"/>
        </w:rPr>
        <w:t xml:space="preserve"> y equilibrio</w:t>
      </w:r>
      <w:r w:rsidR="00991AE1">
        <w:rPr>
          <w:rFonts w:ascii="Century Gothic" w:eastAsia="Times New Roman" w:hAnsi="Century Gothic" w:cs="Segoe UI"/>
          <w:lang w:eastAsia="es-ES"/>
        </w:rPr>
        <w:t>:</w:t>
      </w:r>
    </w:p>
    <w:p w14:paraId="024C92DC" w14:textId="61F58BF2" w:rsidR="006E45E6" w:rsidRPr="006E45E6" w:rsidRDefault="006E45E6" w:rsidP="006E45E6">
      <w:pPr>
        <w:pStyle w:val="Prrafode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76E96">
        <w:rPr>
          <w:rFonts w:ascii="Century Gothic" w:eastAsia="Times New Roman" w:hAnsi="Century Gothic" w:cs="Segoe UI"/>
          <w:b/>
          <w:bCs/>
          <w:lang w:eastAsia="es-ES"/>
        </w:rPr>
        <w:t>Jamón ibérico</w:t>
      </w:r>
      <w:r w:rsidRPr="00E76E96">
        <w:rPr>
          <w:rFonts w:ascii="Century Gothic" w:eastAsia="Times New Roman" w:hAnsi="Century Gothic" w:cs="Segoe UI"/>
          <w:lang w:eastAsia="es-ES"/>
        </w:rPr>
        <w:t>: marida con vinos de crianza biológica, que aportan notas salinas y almendradas, como</w:t>
      </w:r>
      <w:r>
        <w:rPr>
          <w:rFonts w:ascii="Century Gothic" w:eastAsia="Times New Roman" w:hAnsi="Century Gothic" w:cs="Segoe UI"/>
          <w:lang w:eastAsia="es-ES"/>
        </w:rPr>
        <w:t xml:space="preserve"> por ejemplo</w:t>
      </w:r>
      <w:r w:rsidRPr="00E76E96">
        <w:rPr>
          <w:rFonts w:ascii="Century Gothic" w:eastAsia="Times New Roman" w:hAnsi="Century Gothic" w:cs="Segoe UI"/>
          <w:lang w:eastAsia="es-ES"/>
        </w:rPr>
        <w:t xml:space="preserve"> </w:t>
      </w:r>
      <w:r w:rsidRPr="00C16E03">
        <w:rPr>
          <w:rFonts w:ascii="Century Gothic" w:eastAsia="Times New Roman" w:hAnsi="Century Gothic" w:cs="Segoe UI"/>
          <w:b/>
          <w:bCs/>
          <w:lang w:eastAsia="es-ES"/>
        </w:rPr>
        <w:t xml:space="preserve">Fino Tradición </w:t>
      </w:r>
      <w:r w:rsidR="00C271AB" w:rsidRPr="00C271AB">
        <w:rPr>
          <w:rFonts w:ascii="Century Gothic" w:eastAsia="Times New Roman" w:hAnsi="Century Gothic" w:cs="Segoe UI"/>
          <w:lang w:eastAsia="es-ES"/>
        </w:rPr>
        <w:t>en exclusiva para El Club del Gourmet</w:t>
      </w:r>
      <w:r w:rsidRPr="00E76E96">
        <w:rPr>
          <w:rFonts w:ascii="Century Gothic" w:eastAsia="Times New Roman" w:hAnsi="Century Gothic" w:cs="Segoe UI"/>
          <w:lang w:eastAsia="es-ES"/>
        </w:rPr>
        <w:t xml:space="preserve"> (D.O. Jerez).</w:t>
      </w:r>
    </w:p>
    <w:p w14:paraId="3F77D9D4" w14:textId="79CE4149" w:rsidR="004407C7" w:rsidRPr="00E76E96" w:rsidRDefault="004407C7" w:rsidP="00E76E96">
      <w:pPr>
        <w:pStyle w:val="Prrafode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76E96">
        <w:rPr>
          <w:rFonts w:ascii="Century Gothic" w:eastAsia="Times New Roman" w:hAnsi="Century Gothic" w:cs="Segoe UI"/>
          <w:b/>
          <w:bCs/>
          <w:lang w:eastAsia="es-ES"/>
        </w:rPr>
        <w:t>Tabla de quesos curados</w:t>
      </w:r>
      <w:r w:rsidRPr="00E76E96">
        <w:rPr>
          <w:rFonts w:ascii="Century Gothic" w:eastAsia="Times New Roman" w:hAnsi="Century Gothic" w:cs="Segoe UI"/>
          <w:lang w:eastAsia="es-ES"/>
        </w:rPr>
        <w:t xml:space="preserve">: los sabores intensos se complementan con tintos de taninos suaves, como </w:t>
      </w:r>
      <w:r w:rsidRPr="00C16E03">
        <w:rPr>
          <w:rFonts w:ascii="Century Gothic" w:eastAsia="Times New Roman" w:hAnsi="Century Gothic" w:cs="Segoe UI"/>
          <w:b/>
          <w:bCs/>
          <w:lang w:eastAsia="es-ES"/>
        </w:rPr>
        <w:t>Rioja Muga Andén de la Estación</w:t>
      </w:r>
      <w:r w:rsidRPr="00E76E96">
        <w:rPr>
          <w:rFonts w:ascii="Century Gothic" w:eastAsia="Times New Roman" w:hAnsi="Century Gothic" w:cs="Segoe UI"/>
          <w:lang w:eastAsia="es-ES"/>
        </w:rPr>
        <w:t xml:space="preserve"> (D.O.Ca. </w:t>
      </w:r>
      <w:r w:rsidR="00C16E03" w:rsidRPr="00E76E96">
        <w:rPr>
          <w:rFonts w:ascii="Century Gothic" w:eastAsia="Times New Roman" w:hAnsi="Century Gothic" w:cs="Segoe UI"/>
          <w:lang w:eastAsia="es-ES"/>
        </w:rPr>
        <w:t>Rioja)</w:t>
      </w:r>
      <w:r w:rsidR="00C16E03">
        <w:rPr>
          <w:rFonts w:ascii="Century Gothic" w:eastAsia="Times New Roman" w:hAnsi="Century Gothic" w:cs="Segoe UI"/>
          <w:lang w:eastAsia="es-ES"/>
        </w:rPr>
        <w:t xml:space="preserve"> disponible exclusivamente en </w:t>
      </w:r>
      <w:r w:rsidR="006E45E6">
        <w:rPr>
          <w:rFonts w:ascii="Century Gothic" w:eastAsia="Times New Roman" w:hAnsi="Century Gothic" w:cs="Segoe UI"/>
          <w:lang w:eastAsia="es-ES"/>
        </w:rPr>
        <w:t xml:space="preserve">El Corte Inglés, Hipercor y </w:t>
      </w:r>
      <w:proofErr w:type="spellStart"/>
      <w:r w:rsidR="006E45E6">
        <w:rPr>
          <w:rFonts w:ascii="Century Gothic" w:eastAsia="Times New Roman" w:hAnsi="Century Gothic" w:cs="Segoe UI"/>
          <w:lang w:eastAsia="es-ES"/>
        </w:rPr>
        <w:t>Supercor</w:t>
      </w:r>
      <w:proofErr w:type="spellEnd"/>
      <w:r w:rsidRPr="00E76E96">
        <w:rPr>
          <w:rFonts w:ascii="Century Gothic" w:eastAsia="Times New Roman" w:hAnsi="Century Gothic" w:cs="Segoe UI"/>
          <w:lang w:eastAsia="es-ES"/>
        </w:rPr>
        <w:t>.</w:t>
      </w:r>
    </w:p>
    <w:p w14:paraId="73EC6DDC" w14:textId="67C4832E" w:rsidR="004407C7" w:rsidRPr="00E76E96" w:rsidRDefault="004407C7" w:rsidP="00E76E96">
      <w:pPr>
        <w:pStyle w:val="Prrafode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76E96">
        <w:rPr>
          <w:rFonts w:ascii="Century Gothic" w:eastAsia="Times New Roman" w:hAnsi="Century Gothic" w:cs="Segoe UI"/>
          <w:b/>
          <w:bCs/>
          <w:lang w:eastAsia="es-ES"/>
        </w:rPr>
        <w:lastRenderedPageBreak/>
        <w:t>Foie gras</w:t>
      </w:r>
      <w:r w:rsidRPr="00E76E96">
        <w:rPr>
          <w:rFonts w:ascii="Century Gothic" w:eastAsia="Times New Roman" w:hAnsi="Century Gothic" w:cs="Segoe UI"/>
          <w:lang w:eastAsia="es-ES"/>
        </w:rPr>
        <w:t xml:space="preserve">: su textura </w:t>
      </w:r>
      <w:r w:rsidR="00C16E03">
        <w:rPr>
          <w:rFonts w:ascii="Century Gothic" w:eastAsia="Times New Roman" w:hAnsi="Century Gothic" w:cs="Segoe UI"/>
          <w:lang w:eastAsia="es-ES"/>
        </w:rPr>
        <w:t>particular</w:t>
      </w:r>
      <w:r w:rsidRPr="00E76E96">
        <w:rPr>
          <w:rFonts w:ascii="Century Gothic" w:eastAsia="Times New Roman" w:hAnsi="Century Gothic" w:cs="Segoe UI"/>
          <w:lang w:eastAsia="es-ES"/>
        </w:rPr>
        <w:t xml:space="preserve"> encuentra el contrapunto en espumosos que limpian el paladar, como </w:t>
      </w:r>
      <w:r w:rsidRPr="00C16E03">
        <w:rPr>
          <w:rFonts w:ascii="Century Gothic" w:eastAsia="Times New Roman" w:hAnsi="Century Gothic" w:cs="Segoe UI"/>
          <w:b/>
          <w:bCs/>
          <w:lang w:eastAsia="es-ES"/>
        </w:rPr>
        <w:t xml:space="preserve">Champagne Laurent Perrier </w:t>
      </w:r>
      <w:proofErr w:type="spellStart"/>
      <w:r w:rsidRPr="00C16E03">
        <w:rPr>
          <w:rFonts w:ascii="Century Gothic" w:eastAsia="Times New Roman" w:hAnsi="Century Gothic" w:cs="Segoe UI"/>
          <w:b/>
          <w:bCs/>
          <w:lang w:eastAsia="es-ES"/>
        </w:rPr>
        <w:t>Millésime</w:t>
      </w:r>
      <w:proofErr w:type="spellEnd"/>
      <w:r w:rsidRPr="00E76E96">
        <w:rPr>
          <w:rFonts w:ascii="Century Gothic" w:eastAsia="Times New Roman" w:hAnsi="Century Gothic" w:cs="Segoe UI"/>
          <w:lang w:eastAsia="es-ES"/>
        </w:rPr>
        <w:t>.</w:t>
      </w:r>
    </w:p>
    <w:p w14:paraId="534BB858" w14:textId="226EB046" w:rsidR="006E45E6" w:rsidRPr="006E45E6" w:rsidRDefault="006E45E6" w:rsidP="006E45E6">
      <w:pPr>
        <w:pStyle w:val="Prrafode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070B4D">
        <w:rPr>
          <w:rFonts w:ascii="Century Gothic" w:eastAsia="Times New Roman" w:hAnsi="Century Gothic" w:cs="Segoe UI"/>
          <w:b/>
          <w:bCs/>
          <w:lang w:eastAsia="es-ES"/>
        </w:rPr>
        <w:t>Gambas cocidas</w:t>
      </w:r>
      <w:r w:rsidRPr="00070B4D">
        <w:rPr>
          <w:rFonts w:ascii="Century Gothic" w:eastAsia="Times New Roman" w:hAnsi="Century Gothic" w:cs="Segoe UI"/>
          <w:lang w:eastAsia="es-ES"/>
        </w:rPr>
        <w:t xml:space="preserve">: marida bien con un vino blanco joven y aromático, como </w:t>
      </w:r>
      <w:r w:rsidRPr="00070B4D">
        <w:rPr>
          <w:rFonts w:ascii="Century Gothic" w:eastAsia="Times New Roman" w:hAnsi="Century Gothic" w:cs="Segoe UI"/>
          <w:b/>
          <w:bCs/>
          <w:lang w:eastAsia="es-ES"/>
        </w:rPr>
        <w:t>Rueda Albacora</w:t>
      </w:r>
      <w:r w:rsidRPr="00070B4D">
        <w:rPr>
          <w:rFonts w:ascii="Century Gothic" w:eastAsia="Times New Roman" w:hAnsi="Century Gothic" w:cs="Segoe UI"/>
          <w:lang w:eastAsia="es-ES"/>
        </w:rPr>
        <w:t xml:space="preserve"> de Marqués de Riscal, que se </w:t>
      </w:r>
      <w:r>
        <w:rPr>
          <w:rFonts w:ascii="Century Gothic" w:eastAsia="Times New Roman" w:hAnsi="Century Gothic" w:cs="Segoe UI"/>
          <w:lang w:eastAsia="es-ES"/>
        </w:rPr>
        <w:t>elabora en exclusiva para El Corte Inglés</w:t>
      </w:r>
      <w:r w:rsidRPr="00070B4D">
        <w:rPr>
          <w:rFonts w:ascii="Century Gothic" w:eastAsia="Times New Roman" w:hAnsi="Century Gothic" w:cs="Segoe UI"/>
          <w:lang w:eastAsia="es-ES"/>
        </w:rPr>
        <w:t>, y es perfecto para realzar la frescura del marisco.</w:t>
      </w:r>
    </w:p>
    <w:p w14:paraId="2D681BB9" w14:textId="3FCA69DA" w:rsidR="004407C7" w:rsidRPr="00E76E96" w:rsidRDefault="004407C7" w:rsidP="00E76E96">
      <w:pPr>
        <w:pStyle w:val="Prrafode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76E96">
        <w:rPr>
          <w:rFonts w:ascii="Century Gothic" w:eastAsia="Times New Roman" w:hAnsi="Century Gothic" w:cs="Segoe UI"/>
          <w:b/>
          <w:bCs/>
          <w:lang w:eastAsia="es-ES"/>
        </w:rPr>
        <w:t>Salmón marinado o sashimi</w:t>
      </w:r>
      <w:r w:rsidRPr="00E76E96">
        <w:rPr>
          <w:rFonts w:ascii="Century Gothic" w:eastAsia="Times New Roman" w:hAnsi="Century Gothic" w:cs="Segoe UI"/>
          <w:lang w:eastAsia="es-ES"/>
        </w:rPr>
        <w:t xml:space="preserve">: </w:t>
      </w:r>
      <w:r w:rsidR="00C16E03">
        <w:rPr>
          <w:rFonts w:ascii="Century Gothic" w:eastAsia="Times New Roman" w:hAnsi="Century Gothic" w:cs="Segoe UI"/>
          <w:lang w:eastAsia="es-ES"/>
        </w:rPr>
        <w:t xml:space="preserve">Este plato encaja bien con </w:t>
      </w:r>
      <w:r w:rsidRPr="00E76E96">
        <w:rPr>
          <w:rFonts w:ascii="Century Gothic" w:eastAsia="Times New Roman" w:hAnsi="Century Gothic" w:cs="Segoe UI"/>
          <w:lang w:eastAsia="es-ES"/>
        </w:rPr>
        <w:t xml:space="preserve">las burbujas de un buen champagne, como </w:t>
      </w:r>
      <w:proofErr w:type="spellStart"/>
      <w:r w:rsidRPr="00C16E03">
        <w:rPr>
          <w:rFonts w:ascii="Century Gothic" w:eastAsia="Times New Roman" w:hAnsi="Century Gothic" w:cs="Segoe UI"/>
          <w:b/>
          <w:bCs/>
          <w:lang w:eastAsia="es-ES"/>
        </w:rPr>
        <w:t>Jacquesson</w:t>
      </w:r>
      <w:proofErr w:type="spellEnd"/>
      <w:r w:rsidRPr="00C16E03">
        <w:rPr>
          <w:rFonts w:ascii="Century Gothic" w:eastAsia="Times New Roman" w:hAnsi="Century Gothic" w:cs="Segoe UI"/>
          <w:b/>
          <w:bCs/>
          <w:lang w:eastAsia="es-ES"/>
        </w:rPr>
        <w:t xml:space="preserve"> 746</w:t>
      </w:r>
      <w:r w:rsidRPr="00E76E96">
        <w:rPr>
          <w:rFonts w:ascii="Century Gothic" w:eastAsia="Times New Roman" w:hAnsi="Century Gothic" w:cs="Segoe UI"/>
          <w:lang w:eastAsia="es-ES"/>
        </w:rPr>
        <w:t xml:space="preserve">, y </w:t>
      </w:r>
      <w:r w:rsidR="00C16E03">
        <w:rPr>
          <w:rFonts w:ascii="Century Gothic" w:eastAsia="Times New Roman" w:hAnsi="Century Gothic" w:cs="Segoe UI"/>
          <w:lang w:eastAsia="es-ES"/>
        </w:rPr>
        <w:t xml:space="preserve">con </w:t>
      </w:r>
      <w:r w:rsidRPr="00E76E96">
        <w:rPr>
          <w:rFonts w:ascii="Century Gothic" w:eastAsia="Times New Roman" w:hAnsi="Century Gothic" w:cs="Segoe UI"/>
          <w:lang w:eastAsia="es-ES"/>
        </w:rPr>
        <w:t xml:space="preserve">la acidez de un blanco aromático, como </w:t>
      </w:r>
      <w:r w:rsidRPr="00C16E03">
        <w:rPr>
          <w:rFonts w:ascii="Century Gothic" w:eastAsia="Times New Roman" w:hAnsi="Century Gothic" w:cs="Segoe UI"/>
          <w:b/>
          <w:bCs/>
          <w:lang w:eastAsia="es-ES"/>
        </w:rPr>
        <w:t>Rías Baixas Pazo Barrantes</w:t>
      </w:r>
      <w:r w:rsidR="00C16E03">
        <w:rPr>
          <w:rFonts w:ascii="Century Gothic" w:eastAsia="Times New Roman" w:hAnsi="Century Gothic" w:cs="Segoe UI"/>
          <w:lang w:eastAsia="es-ES"/>
        </w:rPr>
        <w:t xml:space="preserve"> </w:t>
      </w:r>
      <w:r w:rsidR="00C16E03" w:rsidRPr="00C16E03">
        <w:rPr>
          <w:rFonts w:ascii="Century Gothic" w:eastAsia="Times New Roman" w:hAnsi="Century Gothic" w:cs="Segoe UI"/>
          <w:b/>
          <w:bCs/>
          <w:lang w:eastAsia="es-ES"/>
        </w:rPr>
        <w:t>Albariño</w:t>
      </w:r>
      <w:r w:rsidR="00C16E03">
        <w:rPr>
          <w:rFonts w:ascii="Century Gothic" w:eastAsia="Times New Roman" w:hAnsi="Century Gothic" w:cs="Segoe UI"/>
          <w:b/>
          <w:bCs/>
          <w:lang w:eastAsia="es-ES"/>
        </w:rPr>
        <w:t>.</w:t>
      </w:r>
    </w:p>
    <w:p w14:paraId="607489A2" w14:textId="7C4C1AA9" w:rsidR="00B54913" w:rsidRPr="00B54913" w:rsidRDefault="004407C7" w:rsidP="00B54913">
      <w:pPr>
        <w:pStyle w:val="Prrafode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76E96">
        <w:rPr>
          <w:rFonts w:ascii="Century Gothic" w:eastAsia="Times New Roman" w:hAnsi="Century Gothic" w:cs="Segoe UI"/>
          <w:b/>
          <w:bCs/>
          <w:lang w:eastAsia="es-ES"/>
        </w:rPr>
        <w:t>Salmón ahumado</w:t>
      </w:r>
      <w:r w:rsidRPr="00E76E96">
        <w:rPr>
          <w:rFonts w:ascii="Century Gothic" w:eastAsia="Times New Roman" w:hAnsi="Century Gothic" w:cs="Segoe UI"/>
          <w:lang w:eastAsia="es-ES"/>
        </w:rPr>
        <w:t xml:space="preserve">: </w:t>
      </w:r>
      <w:r w:rsidR="00B54913" w:rsidRPr="00B54913">
        <w:rPr>
          <w:rFonts w:ascii="Century Gothic" w:eastAsia="Times New Roman" w:hAnsi="Century Gothic" w:cs="Segoe UI"/>
          <w:lang w:eastAsia="es-ES"/>
        </w:rPr>
        <w:t>La técnica del ahumado realza la</w:t>
      </w:r>
      <w:r w:rsidR="00B54913">
        <w:rPr>
          <w:rFonts w:ascii="Century Gothic" w:eastAsia="Times New Roman" w:hAnsi="Century Gothic" w:cs="Segoe UI"/>
          <w:lang w:eastAsia="es-ES"/>
        </w:rPr>
        <w:t xml:space="preserve"> textura y las propiedades</w:t>
      </w:r>
      <w:r w:rsidR="00B54913" w:rsidRPr="00B54913">
        <w:rPr>
          <w:rFonts w:ascii="Century Gothic" w:eastAsia="Times New Roman" w:hAnsi="Century Gothic" w:cs="Segoe UI"/>
          <w:lang w:eastAsia="es-ES"/>
        </w:rPr>
        <w:t xml:space="preserve"> del salmón, por lo que se recomienda acompañarlo con un blanco seco que aporte equilibrio y armonice su carácter</w:t>
      </w:r>
      <w:r w:rsidR="00B54913">
        <w:rPr>
          <w:rFonts w:ascii="Century Gothic" w:eastAsia="Times New Roman" w:hAnsi="Century Gothic" w:cs="Segoe UI"/>
          <w:lang w:eastAsia="es-ES"/>
        </w:rPr>
        <w:t xml:space="preserve"> </w:t>
      </w:r>
      <w:r w:rsidR="00B54913" w:rsidRPr="00E76E96">
        <w:rPr>
          <w:rFonts w:ascii="Century Gothic" w:eastAsia="Times New Roman" w:hAnsi="Century Gothic" w:cs="Segoe UI"/>
          <w:lang w:eastAsia="es-ES"/>
        </w:rPr>
        <w:t xml:space="preserve">como </w:t>
      </w:r>
      <w:r w:rsidR="00B54913" w:rsidRPr="00B54913">
        <w:rPr>
          <w:rFonts w:ascii="Century Gothic" w:eastAsia="Times New Roman" w:hAnsi="Century Gothic" w:cs="Segoe UI"/>
          <w:b/>
          <w:bCs/>
          <w:lang w:eastAsia="es-ES"/>
        </w:rPr>
        <w:t>Rioja Roda del Calado Blanco</w:t>
      </w:r>
      <w:r w:rsidR="00B54913" w:rsidRPr="00E76E96">
        <w:rPr>
          <w:rFonts w:ascii="Century Gothic" w:eastAsia="Times New Roman" w:hAnsi="Century Gothic" w:cs="Segoe UI"/>
          <w:lang w:eastAsia="es-ES"/>
        </w:rPr>
        <w:t xml:space="preserve"> (D.O.Ca. Rioja)</w:t>
      </w:r>
      <w:r w:rsidR="006E45E6">
        <w:rPr>
          <w:rFonts w:ascii="Century Gothic" w:eastAsia="Times New Roman" w:hAnsi="Century Gothic" w:cs="Segoe UI"/>
          <w:lang w:eastAsia="es-ES"/>
        </w:rPr>
        <w:t>, que se vende en exclusiva en el Club del Gourmet</w:t>
      </w:r>
      <w:r w:rsidR="00B54913">
        <w:rPr>
          <w:rFonts w:ascii="Century Gothic" w:eastAsia="Times New Roman" w:hAnsi="Century Gothic" w:cs="Segoe UI"/>
          <w:lang w:eastAsia="es-ES"/>
        </w:rPr>
        <w:t>.</w:t>
      </w:r>
    </w:p>
    <w:p w14:paraId="222587C1" w14:textId="31D21D29" w:rsidR="004407C7" w:rsidRPr="00E76E96" w:rsidRDefault="004407C7" w:rsidP="00E76E96">
      <w:pPr>
        <w:pStyle w:val="Prrafode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76E96">
        <w:rPr>
          <w:rFonts w:ascii="Century Gothic" w:eastAsia="Times New Roman" w:hAnsi="Century Gothic" w:cs="Segoe UI"/>
          <w:b/>
          <w:bCs/>
          <w:lang w:eastAsia="es-ES"/>
        </w:rPr>
        <w:t>Aves de corral</w:t>
      </w:r>
      <w:r w:rsidRPr="00E76E96">
        <w:rPr>
          <w:rFonts w:ascii="Century Gothic" w:eastAsia="Times New Roman" w:hAnsi="Century Gothic" w:cs="Segoe UI"/>
          <w:lang w:eastAsia="es-ES"/>
        </w:rPr>
        <w:t>: carnes como capón o pularda</w:t>
      </w:r>
      <w:r w:rsidR="00B54913">
        <w:rPr>
          <w:rFonts w:ascii="Century Gothic" w:eastAsia="Times New Roman" w:hAnsi="Century Gothic" w:cs="Segoe UI"/>
          <w:lang w:eastAsia="es-ES"/>
        </w:rPr>
        <w:t xml:space="preserve">, tan típicos de estas celebraciones, </w:t>
      </w:r>
      <w:r w:rsidRPr="00E76E96">
        <w:rPr>
          <w:rFonts w:ascii="Century Gothic" w:eastAsia="Times New Roman" w:hAnsi="Century Gothic" w:cs="Segoe UI"/>
          <w:lang w:eastAsia="es-ES"/>
        </w:rPr>
        <w:t xml:space="preserve">se equilibran con tintos suaves y frescos, como </w:t>
      </w:r>
      <w:r w:rsidRPr="00B54913">
        <w:rPr>
          <w:rFonts w:ascii="Century Gothic" w:eastAsia="Times New Roman" w:hAnsi="Century Gothic" w:cs="Segoe UI"/>
          <w:b/>
          <w:bCs/>
          <w:lang w:eastAsia="es-ES"/>
        </w:rPr>
        <w:t>Rioja Gonzaga</w:t>
      </w:r>
      <w:r w:rsidRPr="00E76E96">
        <w:rPr>
          <w:rFonts w:ascii="Century Gothic" w:eastAsia="Times New Roman" w:hAnsi="Century Gothic" w:cs="Segoe UI"/>
          <w:lang w:eastAsia="es-ES"/>
        </w:rPr>
        <w:t xml:space="preserve"> (D.O.Ca. Rioja)</w:t>
      </w:r>
      <w:r w:rsidR="00207342">
        <w:rPr>
          <w:rFonts w:ascii="Century Gothic" w:eastAsia="Times New Roman" w:hAnsi="Century Gothic" w:cs="Segoe UI"/>
          <w:lang w:eastAsia="es-ES"/>
        </w:rPr>
        <w:t xml:space="preserve"> </w:t>
      </w:r>
      <w:r w:rsidR="006E45E6">
        <w:rPr>
          <w:rFonts w:ascii="Century Gothic" w:eastAsia="Times New Roman" w:hAnsi="Century Gothic" w:cs="Segoe UI"/>
          <w:lang w:eastAsia="es-ES"/>
        </w:rPr>
        <w:t xml:space="preserve">también </w:t>
      </w:r>
      <w:r w:rsidR="00207342">
        <w:rPr>
          <w:rFonts w:ascii="Century Gothic" w:eastAsia="Times New Roman" w:hAnsi="Century Gothic" w:cs="Segoe UI"/>
          <w:lang w:eastAsia="es-ES"/>
        </w:rPr>
        <w:t xml:space="preserve">elaborado </w:t>
      </w:r>
      <w:r w:rsidR="006E45E6">
        <w:rPr>
          <w:rFonts w:ascii="Century Gothic" w:eastAsia="Times New Roman" w:hAnsi="Century Gothic" w:cs="Segoe UI"/>
          <w:lang w:eastAsia="es-ES"/>
        </w:rPr>
        <w:t>únicamente</w:t>
      </w:r>
      <w:r w:rsidR="00207342">
        <w:rPr>
          <w:rFonts w:ascii="Century Gothic" w:eastAsia="Times New Roman" w:hAnsi="Century Gothic" w:cs="Segoe UI"/>
          <w:lang w:eastAsia="es-ES"/>
        </w:rPr>
        <w:t xml:space="preserve"> para Club del Gourmet</w:t>
      </w:r>
      <w:r w:rsidRPr="00E76E96">
        <w:rPr>
          <w:rFonts w:ascii="Century Gothic" w:eastAsia="Times New Roman" w:hAnsi="Century Gothic" w:cs="Segoe UI"/>
          <w:lang w:eastAsia="es-ES"/>
        </w:rPr>
        <w:t>.</w:t>
      </w:r>
    </w:p>
    <w:p w14:paraId="14D5C2A5" w14:textId="3879D6B4" w:rsidR="004407C7" w:rsidRPr="00E76E96" w:rsidRDefault="004407C7" w:rsidP="00E76E96">
      <w:pPr>
        <w:pStyle w:val="Prrafode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76E96">
        <w:rPr>
          <w:rFonts w:ascii="Century Gothic" w:eastAsia="Times New Roman" w:hAnsi="Century Gothic" w:cs="Segoe UI"/>
          <w:b/>
          <w:bCs/>
          <w:lang w:eastAsia="es-ES"/>
        </w:rPr>
        <w:t>Cordero asado</w:t>
      </w:r>
      <w:r w:rsidRPr="00E76E96">
        <w:rPr>
          <w:rFonts w:ascii="Century Gothic" w:eastAsia="Times New Roman" w:hAnsi="Century Gothic" w:cs="Segoe UI"/>
          <w:lang w:eastAsia="es-ES"/>
        </w:rPr>
        <w:t xml:space="preserve">: combina con vinos de mayor cuerpo y taninos firmes, como </w:t>
      </w:r>
      <w:r w:rsidRPr="00207342">
        <w:rPr>
          <w:rFonts w:ascii="Century Gothic" w:eastAsia="Times New Roman" w:hAnsi="Century Gothic" w:cs="Segoe UI"/>
          <w:b/>
          <w:bCs/>
          <w:lang w:eastAsia="es-ES"/>
        </w:rPr>
        <w:t xml:space="preserve">Ribera del Duero Dominio de </w:t>
      </w:r>
      <w:proofErr w:type="spellStart"/>
      <w:r w:rsidRPr="00207342">
        <w:rPr>
          <w:rFonts w:ascii="Century Gothic" w:eastAsia="Times New Roman" w:hAnsi="Century Gothic" w:cs="Segoe UI"/>
          <w:b/>
          <w:bCs/>
          <w:lang w:eastAsia="es-ES"/>
        </w:rPr>
        <w:t>Calogía</w:t>
      </w:r>
      <w:proofErr w:type="spellEnd"/>
      <w:r w:rsidRPr="00E76E96">
        <w:rPr>
          <w:rFonts w:ascii="Century Gothic" w:eastAsia="Times New Roman" w:hAnsi="Century Gothic" w:cs="Segoe UI"/>
          <w:lang w:eastAsia="es-ES"/>
        </w:rPr>
        <w:t xml:space="preserve"> (D.O. Ribera del Duero).</w:t>
      </w:r>
    </w:p>
    <w:p w14:paraId="6798EB03" w14:textId="4FA7FEEB" w:rsidR="004407C7" w:rsidRPr="00E76E96" w:rsidRDefault="004407C7" w:rsidP="00E76E96">
      <w:pPr>
        <w:pStyle w:val="Prrafodelista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E76E96">
        <w:rPr>
          <w:rFonts w:ascii="Century Gothic" w:eastAsia="Times New Roman" w:hAnsi="Century Gothic" w:cs="Segoe UI"/>
          <w:b/>
          <w:bCs/>
          <w:lang w:eastAsia="es-ES"/>
        </w:rPr>
        <w:t>Postres tradicionales</w:t>
      </w:r>
      <w:r w:rsidRPr="00E76E96">
        <w:rPr>
          <w:rFonts w:ascii="Century Gothic" w:eastAsia="Times New Roman" w:hAnsi="Century Gothic" w:cs="Segoe UI"/>
          <w:lang w:eastAsia="es-ES"/>
        </w:rPr>
        <w:t xml:space="preserve">: </w:t>
      </w:r>
      <w:r w:rsidR="00207342">
        <w:rPr>
          <w:rFonts w:ascii="Century Gothic" w:eastAsia="Times New Roman" w:hAnsi="Century Gothic" w:cs="Segoe UI"/>
          <w:lang w:eastAsia="es-ES"/>
        </w:rPr>
        <w:t xml:space="preserve">el broche dulce lo ponen </w:t>
      </w:r>
      <w:r w:rsidRPr="00E76E96">
        <w:rPr>
          <w:rFonts w:ascii="Century Gothic" w:eastAsia="Times New Roman" w:hAnsi="Century Gothic" w:cs="Segoe UI"/>
          <w:lang w:eastAsia="es-ES"/>
        </w:rPr>
        <w:t xml:space="preserve">el roscón y el </w:t>
      </w:r>
      <w:proofErr w:type="spellStart"/>
      <w:r w:rsidRPr="00E76E96">
        <w:rPr>
          <w:rFonts w:ascii="Century Gothic" w:eastAsia="Times New Roman" w:hAnsi="Century Gothic" w:cs="Segoe UI"/>
          <w:lang w:eastAsia="es-ES"/>
        </w:rPr>
        <w:t>panettone</w:t>
      </w:r>
      <w:proofErr w:type="spellEnd"/>
      <w:r w:rsidR="00207342">
        <w:rPr>
          <w:rFonts w:ascii="Century Gothic" w:eastAsia="Times New Roman" w:hAnsi="Century Gothic" w:cs="Segoe UI"/>
          <w:lang w:eastAsia="es-ES"/>
        </w:rPr>
        <w:t>, que</w:t>
      </w:r>
      <w:r w:rsidRPr="00E76E96">
        <w:rPr>
          <w:rFonts w:ascii="Century Gothic" w:eastAsia="Times New Roman" w:hAnsi="Century Gothic" w:cs="Segoe UI"/>
          <w:lang w:eastAsia="es-ES"/>
        </w:rPr>
        <w:t xml:space="preserve"> se realzan con vinos dulces de vendimia tardía, como </w:t>
      </w:r>
      <w:r w:rsidRPr="00207342">
        <w:rPr>
          <w:rFonts w:ascii="Century Gothic" w:eastAsia="Times New Roman" w:hAnsi="Century Gothic" w:cs="Segoe UI"/>
          <w:b/>
          <w:bCs/>
          <w:lang w:eastAsia="es-ES"/>
        </w:rPr>
        <w:t>Moscatel Casta Diva</w:t>
      </w:r>
      <w:r w:rsidRPr="00E76E96">
        <w:rPr>
          <w:rFonts w:ascii="Century Gothic" w:eastAsia="Times New Roman" w:hAnsi="Century Gothic" w:cs="Segoe UI"/>
          <w:lang w:eastAsia="es-ES"/>
        </w:rPr>
        <w:t xml:space="preserve"> y </w:t>
      </w:r>
      <w:r w:rsidRPr="00207342">
        <w:rPr>
          <w:rFonts w:ascii="Century Gothic" w:eastAsia="Times New Roman" w:hAnsi="Century Gothic" w:cs="Segoe UI"/>
          <w:b/>
          <w:bCs/>
          <w:lang w:eastAsia="es-ES"/>
        </w:rPr>
        <w:t xml:space="preserve">Don PX de Toro </w:t>
      </w:r>
      <w:proofErr w:type="spellStart"/>
      <w:r w:rsidRPr="00207342">
        <w:rPr>
          <w:rFonts w:ascii="Century Gothic" w:eastAsia="Times New Roman" w:hAnsi="Century Gothic" w:cs="Segoe UI"/>
          <w:b/>
          <w:bCs/>
          <w:lang w:eastAsia="es-ES"/>
        </w:rPr>
        <w:t>Albala</w:t>
      </w:r>
      <w:proofErr w:type="spellEnd"/>
      <w:r w:rsidRPr="00E76E96">
        <w:rPr>
          <w:rFonts w:ascii="Century Gothic" w:eastAsia="Times New Roman" w:hAnsi="Century Gothic" w:cs="Segoe UI"/>
          <w:lang w:eastAsia="es-ES"/>
        </w:rPr>
        <w:t xml:space="preserve"> (D.O. Montilla-Moriles).</w:t>
      </w:r>
    </w:p>
    <w:p w14:paraId="6F856952" w14:textId="48A74B06" w:rsidR="00991AE1" w:rsidRDefault="00A31F32" w:rsidP="00991AE1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A31F32">
        <w:rPr>
          <w:rFonts w:ascii="Century Gothic" w:eastAsia="Times New Roman" w:hAnsi="Century Gothic" w:cs="Segoe UI"/>
          <w:lang w:eastAsia="es-ES"/>
        </w:rPr>
        <w:t xml:space="preserve">La propuesta responde a una tendencia creciente de convertir el maridaje en una parte esencial de la experiencia </w:t>
      </w:r>
      <w:r w:rsidR="00A94BE2">
        <w:rPr>
          <w:rFonts w:ascii="Century Gothic" w:eastAsia="Times New Roman" w:hAnsi="Century Gothic" w:cs="Segoe UI"/>
          <w:lang w:eastAsia="es-ES"/>
        </w:rPr>
        <w:t>culinaria</w:t>
      </w:r>
      <w:r w:rsidRPr="00A31F32">
        <w:rPr>
          <w:rFonts w:ascii="Century Gothic" w:eastAsia="Times New Roman" w:hAnsi="Century Gothic" w:cs="Segoe UI"/>
          <w:lang w:eastAsia="es-ES"/>
        </w:rPr>
        <w:t>.</w:t>
      </w:r>
      <w:r w:rsidR="00991AE1" w:rsidRPr="00991AE1">
        <w:rPr>
          <w:rFonts w:ascii="Century Gothic" w:eastAsia="Times New Roman" w:hAnsi="Century Gothic" w:cs="Segoe UI"/>
          <w:lang w:eastAsia="es-ES"/>
        </w:rPr>
        <w:t xml:space="preserve"> </w:t>
      </w:r>
      <w:r w:rsidR="00991AE1">
        <w:rPr>
          <w:rFonts w:ascii="Century Gothic" w:eastAsia="Times New Roman" w:hAnsi="Century Gothic" w:cs="Segoe UI"/>
          <w:lang w:eastAsia="es-ES"/>
        </w:rPr>
        <w:t>Es</w:t>
      </w:r>
      <w:r w:rsidR="00991AE1" w:rsidRPr="00991AE1">
        <w:rPr>
          <w:rFonts w:ascii="Century Gothic" w:eastAsia="Times New Roman" w:hAnsi="Century Gothic" w:cs="Segoe UI"/>
          <w:lang w:eastAsia="es-ES"/>
        </w:rPr>
        <w:t xml:space="preserve"> una </w:t>
      </w:r>
      <w:r w:rsidR="00A94BE2">
        <w:rPr>
          <w:rFonts w:ascii="Century Gothic" w:eastAsia="Times New Roman" w:hAnsi="Century Gothic" w:cs="Segoe UI"/>
          <w:lang w:eastAsia="es-ES"/>
        </w:rPr>
        <w:t>costumbre</w:t>
      </w:r>
      <w:r w:rsidR="00991AE1" w:rsidRPr="00991AE1">
        <w:rPr>
          <w:rFonts w:ascii="Century Gothic" w:eastAsia="Times New Roman" w:hAnsi="Century Gothic" w:cs="Segoe UI"/>
          <w:lang w:eastAsia="es-ES"/>
        </w:rPr>
        <w:t xml:space="preserve"> que refleja </w:t>
      </w:r>
      <w:r w:rsidR="00991AE1">
        <w:rPr>
          <w:rFonts w:ascii="Century Gothic" w:eastAsia="Times New Roman" w:hAnsi="Century Gothic" w:cs="Segoe UI"/>
          <w:lang w:eastAsia="es-ES"/>
        </w:rPr>
        <w:t>el valor</w:t>
      </w:r>
      <w:r w:rsidR="00991AE1" w:rsidRPr="00991AE1">
        <w:rPr>
          <w:rFonts w:ascii="Century Gothic" w:eastAsia="Times New Roman" w:hAnsi="Century Gothic" w:cs="Segoe UI"/>
          <w:lang w:eastAsia="es-ES"/>
        </w:rPr>
        <w:t xml:space="preserve"> de compartir y celebrar en torno a la mesa. En España, estas combinaciones </w:t>
      </w:r>
      <w:r w:rsidR="00A94BE2">
        <w:rPr>
          <w:rFonts w:ascii="Century Gothic" w:eastAsia="Times New Roman" w:hAnsi="Century Gothic" w:cs="Segoe UI"/>
          <w:lang w:eastAsia="es-ES"/>
        </w:rPr>
        <w:t>están ligadas a la</w:t>
      </w:r>
      <w:r w:rsidR="00991AE1" w:rsidRPr="00991AE1">
        <w:rPr>
          <w:rFonts w:ascii="Century Gothic" w:eastAsia="Times New Roman" w:hAnsi="Century Gothic" w:cs="Segoe UI"/>
          <w:lang w:eastAsia="es-ES"/>
        </w:rPr>
        <w:t xml:space="preserve"> tradición gastronómica, especialmente en Navidad, cuando la mesa se convierte en el centro de la vida social y familiar. </w:t>
      </w:r>
    </w:p>
    <w:p w14:paraId="00CA9B7F" w14:textId="4920F227" w:rsidR="00A94BE2" w:rsidRPr="00A94BE2" w:rsidRDefault="00A94BE2" w:rsidP="00A94BE2">
      <w:pPr>
        <w:spacing w:before="100" w:beforeAutospacing="1" w:after="100" w:afterAutospacing="1" w:line="360" w:lineRule="auto"/>
        <w:jc w:val="both"/>
        <w:rPr>
          <w:rFonts w:ascii="Century Gothic" w:eastAsia="Times New Roman" w:hAnsi="Century Gothic" w:cs="Segoe UI"/>
          <w:lang w:eastAsia="es-ES"/>
        </w:rPr>
      </w:pPr>
      <w:r w:rsidRPr="00A94BE2">
        <w:rPr>
          <w:rFonts w:ascii="Century Gothic" w:eastAsia="Times New Roman" w:hAnsi="Century Gothic" w:cs="Segoe UI"/>
          <w:lang w:eastAsia="es-ES"/>
        </w:rPr>
        <w:t xml:space="preserve">Algunos de los vinos se comercializan en exclusiva en </w:t>
      </w:r>
      <w:r>
        <w:rPr>
          <w:rFonts w:ascii="Century Gothic" w:eastAsia="Times New Roman" w:hAnsi="Century Gothic" w:cs="Segoe UI"/>
          <w:lang w:eastAsia="es-ES"/>
        </w:rPr>
        <w:t>e</w:t>
      </w:r>
      <w:r w:rsidRPr="00A94BE2">
        <w:rPr>
          <w:rFonts w:ascii="Century Gothic" w:eastAsia="Times New Roman" w:hAnsi="Century Gothic" w:cs="Segoe UI"/>
          <w:lang w:eastAsia="es-ES"/>
        </w:rPr>
        <w:t xml:space="preserve">l Club del Gourmet de El Corte Inglés, un espacio que apuesta por la calidad y la selección cuidada de cada producto, incluyendo ediciones limitadas y referencias de bodegas emblemáticas. Además, </w:t>
      </w:r>
      <w:r>
        <w:rPr>
          <w:rFonts w:ascii="Century Gothic" w:eastAsia="Times New Roman" w:hAnsi="Century Gothic" w:cs="Segoe UI"/>
          <w:lang w:eastAsia="es-ES"/>
        </w:rPr>
        <w:t>el equipo de</w:t>
      </w:r>
      <w:r w:rsidRPr="00A94BE2">
        <w:rPr>
          <w:rFonts w:ascii="Century Gothic" w:eastAsia="Times New Roman" w:hAnsi="Century Gothic" w:cs="Segoe UI"/>
          <w:lang w:eastAsia="es-ES"/>
        </w:rPr>
        <w:t xml:space="preserve"> profesionales </w:t>
      </w:r>
      <w:r>
        <w:rPr>
          <w:rFonts w:ascii="Century Gothic" w:eastAsia="Times New Roman" w:hAnsi="Century Gothic" w:cs="Segoe UI"/>
          <w:lang w:eastAsia="es-ES"/>
        </w:rPr>
        <w:t xml:space="preserve">de Club del Gourmet </w:t>
      </w:r>
      <w:r w:rsidRPr="00A94BE2">
        <w:rPr>
          <w:rFonts w:ascii="Century Gothic" w:eastAsia="Times New Roman" w:hAnsi="Century Gothic" w:cs="Segoe UI"/>
          <w:lang w:eastAsia="es-ES"/>
        </w:rPr>
        <w:t>cuenta con una sólida experiencia y conocimiento, lo que les permite asesorar y acompañar al cliente en sus elecciones</w:t>
      </w:r>
      <w:r>
        <w:rPr>
          <w:rFonts w:ascii="Century Gothic" w:eastAsia="Times New Roman" w:hAnsi="Century Gothic" w:cs="Segoe UI"/>
          <w:lang w:eastAsia="es-ES"/>
        </w:rPr>
        <w:t>.</w:t>
      </w:r>
    </w:p>
    <w:p w14:paraId="7F1A187F" w14:textId="77777777" w:rsidR="004A4846" w:rsidRPr="00C47BC1" w:rsidRDefault="004A4846" w:rsidP="00B2756C">
      <w:pPr>
        <w:jc w:val="both"/>
        <w:rPr>
          <w:rFonts w:ascii="Century Gothic" w:hAnsi="Century Gothic"/>
          <w:sz w:val="20"/>
          <w:szCs w:val="20"/>
        </w:rPr>
      </w:pPr>
    </w:p>
    <w:sectPr w:rsidR="004A4846" w:rsidRPr="00C47BC1" w:rsidSect="00F56425">
      <w:headerReference w:type="first" r:id="rId11"/>
      <w:pgSz w:w="11907" w:h="16840" w:code="9"/>
      <w:pgMar w:top="1979" w:right="992" w:bottom="1618" w:left="1440" w:header="79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16D92" w14:textId="77777777" w:rsidR="00610E1B" w:rsidRDefault="00610E1B" w:rsidP="00610E1B">
      <w:pPr>
        <w:spacing w:after="0" w:line="240" w:lineRule="auto"/>
      </w:pPr>
      <w:r>
        <w:separator/>
      </w:r>
    </w:p>
  </w:endnote>
  <w:endnote w:type="continuationSeparator" w:id="0">
    <w:p w14:paraId="200DCD06" w14:textId="77777777" w:rsidR="00610E1B" w:rsidRDefault="00610E1B" w:rsidP="00610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0054B" w14:textId="77777777" w:rsidR="00610E1B" w:rsidRDefault="00610E1B" w:rsidP="00610E1B">
      <w:pPr>
        <w:spacing w:after="0" w:line="240" w:lineRule="auto"/>
      </w:pPr>
      <w:r>
        <w:separator/>
      </w:r>
    </w:p>
  </w:footnote>
  <w:footnote w:type="continuationSeparator" w:id="0">
    <w:p w14:paraId="79BF6242" w14:textId="77777777" w:rsidR="00610E1B" w:rsidRDefault="00610E1B" w:rsidP="00610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0C737" w14:textId="4760F04B" w:rsidR="00610E1B" w:rsidRDefault="00610E1B">
    <w:pPr>
      <w:pStyle w:val="Encabezado"/>
    </w:pPr>
    <w:r>
      <w:rPr>
        <w:b/>
        <w:noProof/>
        <w:color w:val="008000"/>
        <w:sz w:val="28"/>
        <w:szCs w:val="28"/>
        <w:lang w:eastAsia="es-ES"/>
      </w:rPr>
      <w:drawing>
        <wp:anchor distT="0" distB="0" distL="114300" distR="114300" simplePos="0" relativeHeight="251659264" behindDoc="0" locked="0" layoutInCell="1" allowOverlap="1" wp14:anchorId="6CEF4F06" wp14:editId="40294E05">
          <wp:simplePos x="0" y="0"/>
          <wp:positionH relativeFrom="column">
            <wp:posOffset>4597400</wp:posOffset>
          </wp:positionH>
          <wp:positionV relativeFrom="paragraph">
            <wp:posOffset>-339090</wp:posOffset>
          </wp:positionV>
          <wp:extent cx="1706880" cy="654685"/>
          <wp:effectExtent l="0" t="0" r="762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951AF"/>
    <w:multiLevelType w:val="multilevel"/>
    <w:tmpl w:val="C842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0C466D"/>
    <w:multiLevelType w:val="hybridMultilevel"/>
    <w:tmpl w:val="AC34F7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52297"/>
    <w:multiLevelType w:val="multilevel"/>
    <w:tmpl w:val="48E4C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46F5FA2"/>
    <w:multiLevelType w:val="multilevel"/>
    <w:tmpl w:val="25F82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19748B"/>
    <w:multiLevelType w:val="multilevel"/>
    <w:tmpl w:val="7F72B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D704B5"/>
    <w:multiLevelType w:val="multilevel"/>
    <w:tmpl w:val="A50C7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6942724">
    <w:abstractNumId w:val="0"/>
  </w:num>
  <w:num w:numId="2" w16cid:durableId="1712610753">
    <w:abstractNumId w:val="5"/>
  </w:num>
  <w:num w:numId="3" w16cid:durableId="1841651742">
    <w:abstractNumId w:val="3"/>
  </w:num>
  <w:num w:numId="4" w16cid:durableId="1828747845">
    <w:abstractNumId w:val="2"/>
  </w:num>
  <w:num w:numId="5" w16cid:durableId="1551841754">
    <w:abstractNumId w:val="1"/>
  </w:num>
  <w:num w:numId="6" w16cid:durableId="6669816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rawingGridHorizontalSpacing w:val="175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3F4"/>
    <w:rsid w:val="0000588F"/>
    <w:rsid w:val="0001549A"/>
    <w:rsid w:val="00055F49"/>
    <w:rsid w:val="00066256"/>
    <w:rsid w:val="00070B4D"/>
    <w:rsid w:val="00075A0F"/>
    <w:rsid w:val="00081D96"/>
    <w:rsid w:val="000E7539"/>
    <w:rsid w:val="001056E0"/>
    <w:rsid w:val="00121325"/>
    <w:rsid w:val="00122D38"/>
    <w:rsid w:val="00125769"/>
    <w:rsid w:val="00126774"/>
    <w:rsid w:val="0017575E"/>
    <w:rsid w:val="00181FE9"/>
    <w:rsid w:val="001923F4"/>
    <w:rsid w:val="001A661C"/>
    <w:rsid w:val="001C46D6"/>
    <w:rsid w:val="001C60F0"/>
    <w:rsid w:val="001C64F4"/>
    <w:rsid w:val="001E572F"/>
    <w:rsid w:val="00207342"/>
    <w:rsid w:val="002231C8"/>
    <w:rsid w:val="00231947"/>
    <w:rsid w:val="00234E8C"/>
    <w:rsid w:val="00241EAB"/>
    <w:rsid w:val="002576DF"/>
    <w:rsid w:val="00282B6D"/>
    <w:rsid w:val="00285CE8"/>
    <w:rsid w:val="00293AB9"/>
    <w:rsid w:val="002A0A2B"/>
    <w:rsid w:val="002A42F3"/>
    <w:rsid w:val="002B7912"/>
    <w:rsid w:val="002C078F"/>
    <w:rsid w:val="002C551B"/>
    <w:rsid w:val="002D12E2"/>
    <w:rsid w:val="002D5ADD"/>
    <w:rsid w:val="002D7460"/>
    <w:rsid w:val="002E702D"/>
    <w:rsid w:val="00323F54"/>
    <w:rsid w:val="003271CC"/>
    <w:rsid w:val="00351F83"/>
    <w:rsid w:val="00355644"/>
    <w:rsid w:val="0036303C"/>
    <w:rsid w:val="003637EF"/>
    <w:rsid w:val="0037150B"/>
    <w:rsid w:val="003718DD"/>
    <w:rsid w:val="003A540B"/>
    <w:rsid w:val="003B5737"/>
    <w:rsid w:val="003D3D4C"/>
    <w:rsid w:val="003D482D"/>
    <w:rsid w:val="003E527B"/>
    <w:rsid w:val="004160B8"/>
    <w:rsid w:val="0042330A"/>
    <w:rsid w:val="004277F2"/>
    <w:rsid w:val="00433996"/>
    <w:rsid w:val="00437190"/>
    <w:rsid w:val="004407C7"/>
    <w:rsid w:val="004506BA"/>
    <w:rsid w:val="00450DAA"/>
    <w:rsid w:val="00455D1D"/>
    <w:rsid w:val="004A4846"/>
    <w:rsid w:val="004B477E"/>
    <w:rsid w:val="004D6E12"/>
    <w:rsid w:val="004E02E2"/>
    <w:rsid w:val="004E2009"/>
    <w:rsid w:val="004F051E"/>
    <w:rsid w:val="00503F87"/>
    <w:rsid w:val="0056122A"/>
    <w:rsid w:val="0057309F"/>
    <w:rsid w:val="00590DF8"/>
    <w:rsid w:val="00592516"/>
    <w:rsid w:val="005A0A03"/>
    <w:rsid w:val="005A1C29"/>
    <w:rsid w:val="005C2EAA"/>
    <w:rsid w:val="005F3A47"/>
    <w:rsid w:val="00605D28"/>
    <w:rsid w:val="00610E1B"/>
    <w:rsid w:val="00624D1D"/>
    <w:rsid w:val="00641BA8"/>
    <w:rsid w:val="00642B02"/>
    <w:rsid w:val="0065325C"/>
    <w:rsid w:val="00654725"/>
    <w:rsid w:val="00677AB0"/>
    <w:rsid w:val="006C4204"/>
    <w:rsid w:val="006D2763"/>
    <w:rsid w:val="006E3B01"/>
    <w:rsid w:val="006E45E6"/>
    <w:rsid w:val="006F0DA9"/>
    <w:rsid w:val="00700C1B"/>
    <w:rsid w:val="0070789A"/>
    <w:rsid w:val="00712F2C"/>
    <w:rsid w:val="007173AA"/>
    <w:rsid w:val="00733E3B"/>
    <w:rsid w:val="00734B3C"/>
    <w:rsid w:val="007441B3"/>
    <w:rsid w:val="0076212D"/>
    <w:rsid w:val="007640DF"/>
    <w:rsid w:val="007678EE"/>
    <w:rsid w:val="007823C6"/>
    <w:rsid w:val="0078246D"/>
    <w:rsid w:val="00785B26"/>
    <w:rsid w:val="007F3D27"/>
    <w:rsid w:val="007F5E7B"/>
    <w:rsid w:val="0080258F"/>
    <w:rsid w:val="00806D70"/>
    <w:rsid w:val="00827311"/>
    <w:rsid w:val="00865C71"/>
    <w:rsid w:val="00877C12"/>
    <w:rsid w:val="00890D49"/>
    <w:rsid w:val="008A6532"/>
    <w:rsid w:val="009249E2"/>
    <w:rsid w:val="00942FF8"/>
    <w:rsid w:val="0094411F"/>
    <w:rsid w:val="00991AE1"/>
    <w:rsid w:val="00996B1D"/>
    <w:rsid w:val="009A169A"/>
    <w:rsid w:val="009C230A"/>
    <w:rsid w:val="009D2E86"/>
    <w:rsid w:val="009F3BE2"/>
    <w:rsid w:val="00A14DF4"/>
    <w:rsid w:val="00A31F32"/>
    <w:rsid w:val="00A412EA"/>
    <w:rsid w:val="00A43E1C"/>
    <w:rsid w:val="00A51162"/>
    <w:rsid w:val="00A71186"/>
    <w:rsid w:val="00A7246B"/>
    <w:rsid w:val="00A729DD"/>
    <w:rsid w:val="00A94BE2"/>
    <w:rsid w:val="00AB45A1"/>
    <w:rsid w:val="00AC45FF"/>
    <w:rsid w:val="00AC57CC"/>
    <w:rsid w:val="00AD174B"/>
    <w:rsid w:val="00AD2BD9"/>
    <w:rsid w:val="00AD6206"/>
    <w:rsid w:val="00AE6D02"/>
    <w:rsid w:val="00B2756C"/>
    <w:rsid w:val="00B41BDB"/>
    <w:rsid w:val="00B54913"/>
    <w:rsid w:val="00B659EE"/>
    <w:rsid w:val="00B70F8F"/>
    <w:rsid w:val="00B76548"/>
    <w:rsid w:val="00B82865"/>
    <w:rsid w:val="00B86682"/>
    <w:rsid w:val="00B942CA"/>
    <w:rsid w:val="00BA5ABB"/>
    <w:rsid w:val="00BF06D2"/>
    <w:rsid w:val="00C16E03"/>
    <w:rsid w:val="00C21C0A"/>
    <w:rsid w:val="00C271AB"/>
    <w:rsid w:val="00C47BC1"/>
    <w:rsid w:val="00C51DB6"/>
    <w:rsid w:val="00C649B7"/>
    <w:rsid w:val="00CA571A"/>
    <w:rsid w:val="00CB59D2"/>
    <w:rsid w:val="00CC0F90"/>
    <w:rsid w:val="00CC1226"/>
    <w:rsid w:val="00CD440D"/>
    <w:rsid w:val="00CD72BA"/>
    <w:rsid w:val="00D661C7"/>
    <w:rsid w:val="00D67923"/>
    <w:rsid w:val="00DA4C1F"/>
    <w:rsid w:val="00DB101D"/>
    <w:rsid w:val="00DD38E5"/>
    <w:rsid w:val="00DE1520"/>
    <w:rsid w:val="00DE51B5"/>
    <w:rsid w:val="00DF72C7"/>
    <w:rsid w:val="00E17321"/>
    <w:rsid w:val="00E30DEF"/>
    <w:rsid w:val="00E44ED1"/>
    <w:rsid w:val="00E53102"/>
    <w:rsid w:val="00E54D15"/>
    <w:rsid w:val="00E66269"/>
    <w:rsid w:val="00E76C53"/>
    <w:rsid w:val="00E76E96"/>
    <w:rsid w:val="00EA5997"/>
    <w:rsid w:val="00EB0F55"/>
    <w:rsid w:val="00ED533D"/>
    <w:rsid w:val="00EE12D4"/>
    <w:rsid w:val="00EE3476"/>
    <w:rsid w:val="00EE4FBC"/>
    <w:rsid w:val="00EE6FC6"/>
    <w:rsid w:val="00F06303"/>
    <w:rsid w:val="00F10D08"/>
    <w:rsid w:val="00F36462"/>
    <w:rsid w:val="00F56425"/>
    <w:rsid w:val="00F72C7D"/>
    <w:rsid w:val="00F777E6"/>
    <w:rsid w:val="00F92EED"/>
    <w:rsid w:val="00F93521"/>
    <w:rsid w:val="00F9692A"/>
    <w:rsid w:val="00FC4E42"/>
    <w:rsid w:val="00FC6564"/>
    <w:rsid w:val="00FF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0DEDC"/>
  <w15:chartTrackingRefBased/>
  <w15:docId w15:val="{8E6FBBD8-F1A5-4BA4-8AB6-951845DE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C53"/>
  </w:style>
  <w:style w:type="paragraph" w:styleId="Ttulo1">
    <w:name w:val="heading 1"/>
    <w:basedOn w:val="Normal"/>
    <w:next w:val="Normal"/>
    <w:link w:val="Ttulo1Car"/>
    <w:uiPriority w:val="9"/>
    <w:qFormat/>
    <w:rsid w:val="000662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link w:val="Ttulo3Car"/>
    <w:uiPriority w:val="9"/>
    <w:qFormat/>
    <w:rsid w:val="001923F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1923F4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1923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1923F4"/>
    <w:rPr>
      <w:b/>
      <w:bCs/>
    </w:rPr>
  </w:style>
  <w:style w:type="paragraph" w:styleId="Prrafodelista">
    <w:name w:val="List Paragraph"/>
    <w:basedOn w:val="Normal"/>
    <w:uiPriority w:val="34"/>
    <w:qFormat/>
    <w:rsid w:val="00E76C5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10E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10E1B"/>
  </w:style>
  <w:style w:type="paragraph" w:styleId="Piedepgina">
    <w:name w:val="footer"/>
    <w:basedOn w:val="Normal"/>
    <w:link w:val="PiedepginaCar"/>
    <w:uiPriority w:val="99"/>
    <w:unhideWhenUsed/>
    <w:rsid w:val="00610E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0E1B"/>
  </w:style>
  <w:style w:type="character" w:customStyle="1" w:styleId="Ttulo1Car">
    <w:name w:val="Título 1 Car"/>
    <w:basedOn w:val="Fuentedeprrafopredeter"/>
    <w:link w:val="Ttulo1"/>
    <w:uiPriority w:val="9"/>
    <w:rsid w:val="000662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A412E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A5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571A"/>
    <w:rPr>
      <w:rFonts w:ascii="Segoe UI" w:hAnsi="Segoe UI" w:cs="Segoe UI"/>
      <w:sz w:val="18"/>
      <w:szCs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6D2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4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1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7" ma:contentTypeDescription="Create a new document." ma:contentTypeScope="" ma:versionID="89977462fa290798000687d8c742a485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1ec05d34ad92e8ec1db2243051ddaa61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6807b-efff-4824-ab58-3e65e345cdfe" xsi:nil="true"/>
  </documentManagement>
</p:properties>
</file>

<file path=customXml/itemProps1.xml><?xml version="1.0" encoding="utf-8"?>
<ds:datastoreItem xmlns:ds="http://schemas.openxmlformats.org/officeDocument/2006/customXml" ds:itemID="{438996C8-75F8-4991-828F-319F3EB68B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844F98-AC94-4B57-92E6-D22AF0BA30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4AA0BC-6CED-40E7-99E7-AD7BE8A1B2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06CB0C-299E-4C74-B121-53C215042B3E}">
  <ds:schemaRefs>
    <ds:schemaRef ds:uri="9b66807b-efff-4824-ab58-3e65e345cdfe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ed1abe06-f79d-4e8f-ad3c-1efa8bce184b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482</TotalTime>
  <Pages>2</Pages>
  <Words>615</Words>
  <Characters>3388</Characters>
  <Application/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2025-12-15T10:38:00Z</dcterms:created>
  <dcterms:modified xsi:type="dcterms:W3CDTF">2025-12-17T09:38:00Z</dcterms:modified>
  <cp:revision>8</cp:revision>
</cp:coreProperties>
</file>